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AE" w:rsidRDefault="00A840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</w:t>
      </w:r>
      <w:r w:rsidRPr="00A84027">
        <w:rPr>
          <w:rFonts w:hint="eastAsia"/>
          <w:b/>
          <w:sz w:val="28"/>
          <w:szCs w:val="28"/>
        </w:rPr>
        <w:t>申报</w:t>
      </w:r>
      <w:r w:rsidRPr="00A84027"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年盐城市医疗卫生机构医用耗材和检验检测试剂第二批集中采购</w:t>
      </w:r>
      <w:r w:rsidR="005C0FB8" w:rsidRPr="007A384A">
        <w:rPr>
          <w:rFonts w:hint="eastAsia"/>
          <w:b/>
          <w:sz w:val="28"/>
          <w:szCs w:val="28"/>
        </w:rPr>
        <w:t>信息</w:t>
      </w:r>
      <w:r w:rsidR="005C0FB8">
        <w:rPr>
          <w:rFonts w:hint="eastAsia"/>
          <w:b/>
          <w:sz w:val="28"/>
          <w:szCs w:val="28"/>
        </w:rPr>
        <w:t>操作手册</w:t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）在规定的时间内填报除盐城</w:t>
      </w:r>
      <w:r w:rsidRPr="007A384A">
        <w:rPr>
          <w:rFonts w:hint="eastAsia"/>
          <w:b/>
          <w:sz w:val="24"/>
        </w:rPr>
        <w:t>市</w:t>
      </w:r>
      <w:r>
        <w:rPr>
          <w:rFonts w:hint="eastAsia"/>
          <w:b/>
          <w:sz w:val="24"/>
        </w:rPr>
        <w:t>以外的省（区、市）中标</w:t>
      </w:r>
      <w:r w:rsidRPr="007A384A">
        <w:rPr>
          <w:rFonts w:hint="eastAsia"/>
          <w:b/>
          <w:sz w:val="24"/>
        </w:rPr>
        <w:t>信息</w:t>
      </w:r>
      <w:r>
        <w:rPr>
          <w:rFonts w:hint="eastAsia"/>
          <w:b/>
          <w:sz w:val="24"/>
        </w:rPr>
        <w:t>，并且上传有效的中标附件。</w:t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）在规定的时间内状态为</w:t>
      </w:r>
      <w:r w:rsidRPr="007A384A">
        <w:rPr>
          <w:rFonts w:hint="eastAsia"/>
          <w:b/>
          <w:sz w:val="24"/>
        </w:rPr>
        <w:t>“未送审”时，</w:t>
      </w:r>
      <w:r>
        <w:rPr>
          <w:rFonts w:hint="eastAsia"/>
          <w:b/>
          <w:sz w:val="24"/>
        </w:rPr>
        <w:t>填报的内容和附件可以任意修改。</w:t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）在规定的时间内填报的中标记录可以逐条送审，也可以全部送审，已送审</w:t>
      </w:r>
      <w:r w:rsidRPr="007A384A">
        <w:rPr>
          <w:rFonts w:hint="eastAsia"/>
          <w:b/>
          <w:sz w:val="24"/>
        </w:rPr>
        <w:t>状态的</w:t>
      </w:r>
      <w:r>
        <w:rPr>
          <w:rFonts w:hint="eastAsia"/>
          <w:b/>
          <w:sz w:val="24"/>
        </w:rPr>
        <w:t>信息无法修改，请谨慎填报和送审。</w:t>
      </w:r>
    </w:p>
    <w:p w:rsidR="00A25340" w:rsidRPr="00A25340" w:rsidRDefault="00A2534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）</w:t>
      </w:r>
      <w:r w:rsidRPr="00A25340">
        <w:rPr>
          <w:rFonts w:hint="eastAsia"/>
          <w:b/>
          <w:sz w:val="24"/>
        </w:rPr>
        <w:t>送审</w:t>
      </w:r>
      <w:r w:rsidRPr="00A25340">
        <w:rPr>
          <w:b/>
          <w:sz w:val="24"/>
        </w:rPr>
        <w:t>后</w:t>
      </w:r>
      <w:r w:rsidRPr="00A25340">
        <w:rPr>
          <w:rFonts w:hint="eastAsia"/>
          <w:b/>
          <w:sz w:val="24"/>
        </w:rPr>
        <w:t>的产品信息</w:t>
      </w:r>
      <w:r w:rsidRPr="00A25340">
        <w:rPr>
          <w:b/>
          <w:sz w:val="24"/>
        </w:rPr>
        <w:t>将在审核期</w:t>
      </w:r>
      <w:r w:rsidRPr="00A25340">
        <w:rPr>
          <w:rFonts w:hint="eastAsia"/>
          <w:b/>
          <w:sz w:val="24"/>
        </w:rPr>
        <w:t>内</w:t>
      </w:r>
      <w:r w:rsidRPr="00A25340">
        <w:rPr>
          <w:b/>
          <w:sz w:val="24"/>
        </w:rPr>
        <w:t>统一审核</w:t>
      </w:r>
      <w:r>
        <w:rPr>
          <w:rFonts w:hint="eastAsia"/>
          <w:b/>
          <w:sz w:val="24"/>
        </w:rPr>
        <w:t>，审核期间</w:t>
      </w:r>
      <w:bookmarkStart w:id="0" w:name="_GoBack"/>
      <w:bookmarkEnd w:id="0"/>
      <w:r>
        <w:rPr>
          <w:rFonts w:hint="eastAsia"/>
          <w:b/>
          <w:sz w:val="24"/>
        </w:rPr>
        <w:t>系统填报的信息不得修改。</w:t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A25340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）状态为：</w:t>
      </w:r>
      <w:r w:rsidRPr="007A384A">
        <w:rPr>
          <w:rFonts w:hint="eastAsia"/>
          <w:b/>
          <w:sz w:val="24"/>
        </w:rPr>
        <w:t>“审核通过”</w:t>
      </w:r>
      <w:r>
        <w:rPr>
          <w:rFonts w:hint="eastAsia"/>
          <w:b/>
          <w:sz w:val="24"/>
        </w:rPr>
        <w:t>，说明填报的信息全部有效，状态为：</w:t>
      </w:r>
      <w:r w:rsidRPr="007A384A">
        <w:rPr>
          <w:rFonts w:hint="eastAsia"/>
          <w:b/>
          <w:sz w:val="24"/>
        </w:rPr>
        <w:t>“审核不通过”</w:t>
      </w:r>
      <w:r>
        <w:rPr>
          <w:rFonts w:hint="eastAsia"/>
          <w:b/>
          <w:sz w:val="24"/>
        </w:rPr>
        <w:t>，说明部分填报的信息为无效，或者全部填报的信息均为无效，可以具体查看审核结果。</w:t>
      </w:r>
    </w:p>
    <w:p w:rsidR="002272AE" w:rsidRDefault="002272AE">
      <w:pPr>
        <w:jc w:val="left"/>
        <w:rPr>
          <w:b/>
          <w:sz w:val="28"/>
        </w:rPr>
      </w:pPr>
    </w:p>
    <w:p w:rsidR="002272AE" w:rsidRDefault="005C0FB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登录系统</w:t>
      </w:r>
    </w:p>
    <w:p w:rsidR="002272AE" w:rsidRDefault="002272AE">
      <w:pPr>
        <w:jc w:val="left"/>
        <w:rPr>
          <w:b/>
          <w:sz w:val="24"/>
        </w:rPr>
      </w:pPr>
    </w:p>
    <w:p w:rsidR="002272AE" w:rsidRDefault="005C0FB8">
      <w:pPr>
        <w:jc w:val="left"/>
        <w:rPr>
          <w:b/>
          <w:sz w:val="22"/>
        </w:rPr>
      </w:pP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、在浏览器中输入地址：</w:t>
      </w:r>
      <w:r>
        <w:rPr>
          <w:b/>
          <w:sz w:val="24"/>
          <w:szCs w:val="28"/>
        </w:rPr>
        <w:t>http://supply.ecarechina.com/</w:t>
      </w:r>
      <w:r>
        <w:rPr>
          <w:b/>
          <w:noProof/>
          <w:sz w:val="22"/>
        </w:rPr>
        <w:drawing>
          <wp:inline distT="0" distB="0" distL="0" distR="0">
            <wp:extent cx="5274310" cy="2246630"/>
            <wp:effectExtent l="1905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、输入用户名和密码（指盐城申报资质时的用户名和密码）点击登录：</w:t>
      </w:r>
      <w:r>
        <w:rPr>
          <w:rFonts w:hint="eastAsia"/>
          <w:b/>
          <w:noProof/>
          <w:sz w:val="22"/>
        </w:rPr>
        <w:drawing>
          <wp:inline distT="0" distB="0" distL="0" distR="0">
            <wp:extent cx="5274310" cy="1012190"/>
            <wp:effectExtent l="1905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3</w:t>
      </w:r>
      <w:r>
        <w:rPr>
          <w:rFonts w:hint="eastAsia"/>
          <w:b/>
          <w:sz w:val="24"/>
        </w:rPr>
        <w:t>、然后进入项目，点击【投标用户】按钮，显示【商品价格资质维护】，见下图：</w:t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>
            <wp:extent cx="5274310" cy="1101090"/>
            <wp:effectExtent l="1905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2272AE">
      <w:pPr>
        <w:jc w:val="left"/>
        <w:rPr>
          <w:b/>
          <w:sz w:val="22"/>
        </w:rPr>
      </w:pP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、点击：商品价格资质维护，显示出投标企业的商品基本信息。状态显示：未填报，说明这一条产品未有申报记录。产品基本信息最后一项：操作下方【资质补充】按钮，见下图：</w:t>
      </w:r>
    </w:p>
    <w:p w:rsidR="002272AE" w:rsidRDefault="002272AE">
      <w:pPr>
        <w:jc w:val="left"/>
        <w:rPr>
          <w:b/>
          <w:sz w:val="22"/>
        </w:rPr>
      </w:pPr>
    </w:p>
    <w:p w:rsidR="002272AE" w:rsidRDefault="002272AE">
      <w:pPr>
        <w:jc w:val="left"/>
        <w:rPr>
          <w:b/>
          <w:sz w:val="22"/>
        </w:rPr>
      </w:pPr>
    </w:p>
    <w:p w:rsidR="002272AE" w:rsidRDefault="005C0FB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5274310" cy="1795145"/>
            <wp:effectExtent l="1905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、点击【资质补充】按钮，然后点击【新增】按钮，显示：价格、单位、地区、年份四项为必填项，价格和单位是需要企业填写，地区和年份需要企业选择。</w:t>
      </w:r>
    </w:p>
    <w:p w:rsidR="002272AE" w:rsidRDefault="005C0FB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5274310" cy="178879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20021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6</w:t>
      </w:r>
      <w:r>
        <w:rPr>
          <w:rFonts w:hint="eastAsia"/>
          <w:b/>
          <w:sz w:val="24"/>
        </w:rPr>
        <w:t>、填写好价格、单位、选好中标年份和地区，点击【保存按钮】提示：保存成功</w:t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181229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2272AE">
      <w:pPr>
        <w:jc w:val="left"/>
        <w:rPr>
          <w:b/>
          <w:sz w:val="22"/>
        </w:rPr>
      </w:pP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228663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、在商品基本信息下面显示已经填写好的相关信息，然后：纸质图片下，点击【维护】按钮，填写附件信息，上传有效中标附件，点击【保存】按钮，显示：保存成功，说明附件上传操作完成。</w:t>
      </w:r>
    </w:p>
    <w:p w:rsidR="002272AE" w:rsidRDefault="005C0FB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5274310" cy="1650365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>
            <wp:extent cx="5274310" cy="171704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1749425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2063115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、状态在：未送审时，填写的相关信息和上传的附件可以任意修改。</w:t>
      </w:r>
      <w:r>
        <w:rPr>
          <w:rFonts w:hint="eastAsia"/>
          <w:b/>
          <w:noProof/>
          <w:sz w:val="22"/>
        </w:rPr>
        <w:drawing>
          <wp:inline distT="0" distB="0" distL="0" distR="0">
            <wp:extent cx="5274310" cy="1602740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、保存成功一条记录，点击【新增】按钮继续增加其它地区的中标信息和附件，增加成功点击【送审】按钮每条中标记录状态显示：已送审待审核。商品首页总状态显示：已送审。（</w:t>
      </w:r>
      <w:r>
        <w:rPr>
          <w:rFonts w:hint="eastAsia"/>
          <w:b/>
          <w:color w:val="FF0000"/>
          <w:sz w:val="24"/>
        </w:rPr>
        <w:t>备注：已送审的商品不得修改，送审请谨慎</w:t>
      </w:r>
      <w:r>
        <w:rPr>
          <w:rFonts w:hint="eastAsia"/>
          <w:b/>
          <w:sz w:val="24"/>
        </w:rPr>
        <w:t>）分别见下图：</w:t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>
            <wp:extent cx="5274310" cy="2374265"/>
            <wp:effectExtent l="19050" t="0" r="2540" b="0"/>
            <wp:docPr id="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</w:rPr>
        <w:drawing>
          <wp:inline distT="0" distB="0" distL="0" distR="0">
            <wp:extent cx="5274310" cy="1809115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5C0FB8">
      <w:pPr>
        <w:jc w:val="left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274310" cy="2379345"/>
            <wp:effectExtent l="1905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AE" w:rsidRDefault="002272AE">
      <w:pPr>
        <w:jc w:val="left"/>
        <w:rPr>
          <w:b/>
          <w:sz w:val="22"/>
        </w:rPr>
      </w:pPr>
    </w:p>
    <w:p w:rsidR="002272AE" w:rsidRDefault="002272AE">
      <w:pPr>
        <w:jc w:val="left"/>
        <w:rPr>
          <w:b/>
          <w:sz w:val="22"/>
        </w:rPr>
      </w:pPr>
    </w:p>
    <w:p w:rsidR="002272AE" w:rsidRPr="009B70C3" w:rsidRDefault="005C0FB8">
      <w:pPr>
        <w:jc w:val="center"/>
        <w:rPr>
          <w:b/>
          <w:sz w:val="96"/>
        </w:rPr>
      </w:pPr>
      <w:r w:rsidRPr="009B70C3">
        <w:rPr>
          <w:rFonts w:hint="eastAsia"/>
          <w:b/>
          <w:sz w:val="96"/>
        </w:rPr>
        <w:t>完毕</w:t>
      </w:r>
    </w:p>
    <w:sectPr w:rsidR="002272AE" w:rsidRPr="009B70C3" w:rsidSect="0022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85" w:rsidRDefault="007D1885" w:rsidP="007A384A">
      <w:r>
        <w:separator/>
      </w:r>
    </w:p>
  </w:endnote>
  <w:endnote w:type="continuationSeparator" w:id="1">
    <w:p w:rsidR="007D1885" w:rsidRDefault="007D1885" w:rsidP="007A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85" w:rsidRDefault="007D1885" w:rsidP="007A384A">
      <w:r>
        <w:separator/>
      </w:r>
    </w:p>
  </w:footnote>
  <w:footnote w:type="continuationSeparator" w:id="1">
    <w:p w:rsidR="007D1885" w:rsidRDefault="007D1885" w:rsidP="007A3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66"/>
    <w:rsid w:val="00000EE2"/>
    <w:rsid w:val="00197201"/>
    <w:rsid w:val="00223779"/>
    <w:rsid w:val="002272AE"/>
    <w:rsid w:val="00253CE8"/>
    <w:rsid w:val="00276721"/>
    <w:rsid w:val="003105B9"/>
    <w:rsid w:val="003D3A55"/>
    <w:rsid w:val="0043281B"/>
    <w:rsid w:val="00454418"/>
    <w:rsid w:val="00466BBA"/>
    <w:rsid w:val="004A655F"/>
    <w:rsid w:val="004E4EBC"/>
    <w:rsid w:val="004E5591"/>
    <w:rsid w:val="00556182"/>
    <w:rsid w:val="0055654F"/>
    <w:rsid w:val="005C0FB8"/>
    <w:rsid w:val="0068048A"/>
    <w:rsid w:val="00687685"/>
    <w:rsid w:val="0070091E"/>
    <w:rsid w:val="00716E58"/>
    <w:rsid w:val="00730881"/>
    <w:rsid w:val="007A384A"/>
    <w:rsid w:val="007D1885"/>
    <w:rsid w:val="007D2A94"/>
    <w:rsid w:val="008C7B39"/>
    <w:rsid w:val="009867D8"/>
    <w:rsid w:val="009A2695"/>
    <w:rsid w:val="009B4966"/>
    <w:rsid w:val="009B70C3"/>
    <w:rsid w:val="009D63A5"/>
    <w:rsid w:val="00A25340"/>
    <w:rsid w:val="00A73C61"/>
    <w:rsid w:val="00A84027"/>
    <w:rsid w:val="00AA2F98"/>
    <w:rsid w:val="00B006D1"/>
    <w:rsid w:val="00B1046A"/>
    <w:rsid w:val="00BE1F68"/>
    <w:rsid w:val="00C4218D"/>
    <w:rsid w:val="00C6171B"/>
    <w:rsid w:val="00C76484"/>
    <w:rsid w:val="00C84454"/>
    <w:rsid w:val="00C90D61"/>
    <w:rsid w:val="00CF15E6"/>
    <w:rsid w:val="00D6193D"/>
    <w:rsid w:val="00DA3B1F"/>
    <w:rsid w:val="00DC20EB"/>
    <w:rsid w:val="00E32BE0"/>
    <w:rsid w:val="00ED0659"/>
    <w:rsid w:val="00F12BE5"/>
    <w:rsid w:val="1996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2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2A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272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Administrator</cp:lastModifiedBy>
  <cp:revision>16</cp:revision>
  <dcterms:created xsi:type="dcterms:W3CDTF">2019-06-19T08:59:00Z</dcterms:created>
  <dcterms:modified xsi:type="dcterms:W3CDTF">2019-06-24T02:27:00Z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