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黑体" w:hAnsi="黑体" w:eastAsia="黑体" w:cs="黑体"/>
          <w:b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黑体" w:hAnsi="黑体" w:eastAsia="黑体" w:cs="黑体"/>
          <w:b w:val="0"/>
          <w:color w:val="000000" w:themeColor="text1"/>
          <w:spacing w:val="0"/>
          <w:sz w:val="32"/>
          <w:szCs w:val="32"/>
          <w:highlight w:val="none"/>
          <w:shd w:val="clear" w:color="auto" w:fill="FFFFFF"/>
          <w:lang w:val="en-US" w:eastAsia="zh-CN"/>
          <w14:textFill>
            <w14:solidFill>
              <w14:schemeClr w14:val="tx1"/>
            </w14:solidFill>
          </w14:textFill>
        </w:rPr>
        <w:t>附件</w:t>
      </w:r>
    </w:p>
    <w:p>
      <w:pPr>
        <w:keepNext w:val="0"/>
        <w:keepLines w:val="0"/>
        <w:pageBreakBefore w:val="0"/>
        <w:widowControl w:val="0"/>
        <w:shd w:val="clear"/>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default" w:ascii="Times New Roman" w:hAnsi="Times New Roman" w:eastAsia="仿宋_GB2312" w:cs="Times New Roman"/>
          <w:b w:val="0"/>
          <w:color w:val="000000" w:themeColor="text1"/>
          <w:spacing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8"/>
          <w:rFonts w:hint="default" w:ascii="Times New Roman" w:hAnsi="Times New Roman" w:eastAsia="方正小标宋简体" w:cs="Times New Roman"/>
          <w:b w:val="0"/>
          <w:color w:val="000000" w:themeColor="text1"/>
          <w:spacing w:val="0"/>
          <w:sz w:val="44"/>
          <w:szCs w:val="44"/>
          <w:highlight w:val="none"/>
          <w:shd w:val="clear" w:color="auto" w:fill="FFFFFF"/>
          <w14:textFill>
            <w14:solidFill>
              <w14:schemeClr w14:val="tx1"/>
            </w14:solidFill>
          </w14:textFill>
        </w:rPr>
      </w:pPr>
      <w:bookmarkStart w:id="1" w:name="_GoBack"/>
      <w:r>
        <w:rPr>
          <w:rFonts w:hint="default" w:ascii="Times New Roman" w:hAnsi="Times New Roman" w:eastAsia="方正小标宋简体" w:cs="Times New Roman"/>
          <w:color w:val="000000" w:themeColor="text1"/>
          <w:spacing w:val="0"/>
          <w:sz w:val="44"/>
          <w:szCs w:val="44"/>
          <w:highlight w:val="none"/>
          <w:shd w:val="clear" w:color="auto" w:fill="FFFFFF"/>
          <w14:textFill>
            <w14:solidFill>
              <w14:schemeClr w14:val="tx1"/>
            </w14:solidFill>
          </w14:textFill>
        </w:rPr>
        <w:t>湖南省</w:t>
      </w:r>
      <w:r>
        <w:rPr>
          <w:rStyle w:val="8"/>
          <w:rFonts w:hint="default" w:ascii="Times New Roman" w:hAnsi="Times New Roman" w:eastAsia="方正小标宋简体" w:cs="Times New Roman"/>
          <w:b w:val="0"/>
          <w:color w:val="000000" w:themeColor="text1"/>
          <w:spacing w:val="0"/>
          <w:sz w:val="44"/>
          <w:szCs w:val="44"/>
          <w:highlight w:val="none"/>
          <w:shd w:val="clear" w:color="auto" w:fill="FFFFFF"/>
          <w14:textFill>
            <w14:solidFill>
              <w14:schemeClr w14:val="tx1"/>
            </w14:solidFill>
          </w14:textFill>
        </w:rPr>
        <w:t>公立医疗机构部分医用耗材</w:t>
      </w:r>
    </w:p>
    <w:p>
      <w:pPr>
        <w:keepNext w:val="0"/>
        <w:keepLines w:val="0"/>
        <w:pageBreakBefore w:val="0"/>
        <w:widowControl w:val="0"/>
        <w:shd w:val="clear"/>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8"/>
          <w:rFonts w:hint="default" w:ascii="Times New Roman" w:hAnsi="Times New Roman" w:eastAsia="方正小标宋简体" w:cs="Times New Roman"/>
          <w:b w:val="0"/>
          <w:color w:val="000000" w:themeColor="text1"/>
          <w:spacing w:val="0"/>
          <w:sz w:val="44"/>
          <w:szCs w:val="44"/>
          <w:highlight w:val="none"/>
          <w:shd w:val="clear" w:color="auto" w:fill="FFFFFF"/>
          <w14:textFill>
            <w14:solidFill>
              <w14:schemeClr w14:val="tx1"/>
            </w14:solidFill>
          </w14:textFill>
        </w:rPr>
      </w:pPr>
      <w:r>
        <w:rPr>
          <w:rStyle w:val="8"/>
          <w:rFonts w:hint="default" w:ascii="Times New Roman" w:hAnsi="Times New Roman" w:eastAsia="方正小标宋简体" w:cs="Times New Roman"/>
          <w:b w:val="0"/>
          <w:color w:val="000000" w:themeColor="text1"/>
          <w:spacing w:val="0"/>
          <w:sz w:val="44"/>
          <w:szCs w:val="44"/>
          <w:highlight w:val="none"/>
          <w:shd w:val="clear" w:color="auto" w:fill="FFFFFF"/>
          <w14:textFill>
            <w14:solidFill>
              <w14:schemeClr w14:val="tx1"/>
            </w14:solidFill>
          </w14:textFill>
        </w:rPr>
        <w:t>带量采购方案</w:t>
      </w:r>
    </w:p>
    <w:p>
      <w:pPr>
        <w:keepNext w:val="0"/>
        <w:keepLines w:val="0"/>
        <w:pageBreakBefore w:val="0"/>
        <w:widowControl w:val="0"/>
        <w:shd w:val="clear"/>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8"/>
          <w:rFonts w:hint="eastAsia" w:ascii="楷体_GB2312" w:hAnsi="楷体_GB2312" w:eastAsia="楷体_GB2312" w:cs="楷体_GB2312"/>
          <w:b w:val="0"/>
          <w:color w:val="000000" w:themeColor="text1"/>
          <w:spacing w:val="0"/>
          <w:sz w:val="32"/>
          <w:szCs w:val="32"/>
          <w:highlight w:val="none"/>
          <w:shd w:val="clear" w:color="auto" w:fill="FFFFFF"/>
          <w:lang w:val="en-US" w:eastAsia="zh-CN"/>
          <w14:textFill>
            <w14:solidFill>
              <w14:schemeClr w14:val="tx1"/>
            </w14:solidFill>
          </w14:textFill>
        </w:rPr>
      </w:pPr>
      <w:r>
        <w:rPr>
          <w:rStyle w:val="8"/>
          <w:rFonts w:hint="eastAsia" w:ascii="楷体_GB2312" w:hAnsi="楷体_GB2312" w:eastAsia="楷体_GB2312" w:cs="楷体_GB2312"/>
          <w:b w:val="0"/>
          <w:color w:val="000000" w:themeColor="text1"/>
          <w:spacing w:val="0"/>
          <w:sz w:val="32"/>
          <w:szCs w:val="32"/>
          <w:highlight w:val="none"/>
          <w:shd w:val="clear" w:color="auto" w:fill="FFFFFF"/>
          <w:lang w:eastAsia="zh-CN"/>
          <w14:textFill>
            <w14:solidFill>
              <w14:schemeClr w14:val="tx1"/>
            </w14:solidFill>
          </w14:textFill>
        </w:rPr>
        <w:t>（征求意见稿）</w:t>
      </w:r>
    </w:p>
    <w:bookmarkEnd w:id="1"/>
    <w:p>
      <w:pPr>
        <w:keepNext w:val="0"/>
        <w:keepLines w:val="0"/>
        <w:pageBreakBefore w:val="0"/>
        <w:widowControl w:val="0"/>
        <w:shd w:val="clear"/>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default" w:ascii="Times New Roman" w:hAnsi="Times New Roman" w:eastAsia="仿宋_GB2312" w:cs="Times New Roman"/>
          <w:b w:val="0"/>
          <w:color w:val="000000" w:themeColor="text1"/>
          <w:spacing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shd w:val="clear" w:color="auto" w:fill="FFFFFF"/>
          <w14:textFill>
            <w14:solidFill>
              <w14:schemeClr w14:val="tx1"/>
            </w14:solidFill>
          </w14:textFill>
        </w:rPr>
        <w:t>为理顺医用耗材价格体系，形成医用耗材质量可靠、价格合理、使用规范</w:t>
      </w:r>
      <w:r>
        <w:rPr>
          <w:rFonts w:hint="default" w:ascii="Times New Roman" w:hAnsi="Times New Roman" w:eastAsia="仿宋_GB2312" w:cs="Times New Roman"/>
          <w:color w:val="000000" w:themeColor="text1"/>
          <w:spacing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shd w:val="clear" w:color="auto" w:fill="FFFFFF"/>
          <w14:textFill>
            <w14:solidFill>
              <w14:schemeClr w14:val="tx1"/>
            </w14:solidFill>
          </w14:textFill>
        </w:rPr>
        <w:t>流通快捷的治理格局</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节约医保资金，维护人民群众健康权益，根据《国务院办公厅关于印发治理高值医用耗材改革方案的通知》（国办发〔2019〕37号）、《国家医疗保障局关于印发2020年医疗保障工作要点的通知》（医保发〔2020〕4号）、《湖南省人民政府办公厅关于印发&lt;湖南省治理高值医用耗材改革实施方案&gt;的通知》（湘政办发〔2019〕59号）等文件精神，</w:t>
      </w:r>
      <w:r>
        <w:rPr>
          <w:rFonts w:hint="default" w:ascii="Times New Roman" w:hAnsi="Times New Roman" w:eastAsia="仿宋_GB2312" w:cs="Times New Roman"/>
          <w:color w:val="000000" w:themeColor="text1"/>
          <w:spacing w:val="0"/>
          <w:sz w:val="32"/>
          <w:szCs w:val="32"/>
          <w:highlight w:val="none"/>
          <w:shd w:val="clear" w:color="auto" w:fill="FFFFFF"/>
          <w14:textFill>
            <w14:solidFill>
              <w14:schemeClr w14:val="tx1"/>
            </w14:solidFill>
          </w14:textFill>
        </w:rPr>
        <w:t>结合我省实际，制定本方案</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textAlignment w:val="auto"/>
        <w:outlineLvl w:val="9"/>
        <w:rPr>
          <w:rFonts w:hint="default" w:ascii="Times New Roman" w:hAnsi="Times New Roman" w:eastAsia="黑体" w:cs="Times New Roman"/>
          <w:color w:val="000000" w:themeColor="text1"/>
          <w:spacing w:val="0"/>
          <w:kern w:val="2"/>
          <w:sz w:val="32"/>
          <w:szCs w:val="32"/>
          <w:highlight w:val="none"/>
          <w14:textFill>
            <w14:solidFill>
              <w14:schemeClr w14:val="tx1"/>
            </w14:solidFill>
          </w14:textFill>
        </w:rPr>
      </w:pPr>
      <w:r>
        <w:rPr>
          <w:rFonts w:hint="default" w:ascii="Times New Roman" w:hAnsi="Times New Roman" w:eastAsia="黑体" w:cs="Times New Roman"/>
          <w:color w:val="000000" w:themeColor="text1"/>
          <w:spacing w:val="0"/>
          <w:kern w:val="2"/>
          <w:sz w:val="32"/>
          <w:szCs w:val="32"/>
          <w:highlight w:val="none"/>
          <w14:textFill>
            <w14:solidFill>
              <w14:schemeClr w14:val="tx1"/>
            </w14:solidFill>
          </w14:textFill>
        </w:rPr>
        <w:t>一、总体思路</w:t>
      </w:r>
    </w:p>
    <w:p>
      <w:pPr>
        <w:pStyle w:val="4"/>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textAlignment w:val="auto"/>
        <w:outlineLvl w:val="9"/>
        <w:rPr>
          <w:rFonts w:hint="default" w:ascii="Times New Roman" w:hAnsi="Times New Roman" w:eastAsia="楷体_GB2312" w:cs="Times New Roman"/>
          <w:color w:val="000000" w:themeColor="text1"/>
          <w:spacing w:val="0"/>
          <w:kern w:val="2"/>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14:textFill>
            <w14:solidFill>
              <w14:schemeClr w14:val="tx1"/>
            </w14:solidFill>
          </w14:textFill>
        </w:rPr>
        <w:t>（一）工作目标</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通过带量采购、量价挂钩</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促进市场竞争等方式，对部分医用耗材实施集中采购，进一步降低价格，</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实行费用总量控制管理，</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减轻人民群众</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医药</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负担。</w:t>
      </w:r>
    </w:p>
    <w:p>
      <w:pPr>
        <w:pStyle w:val="4"/>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textAlignment w:val="auto"/>
        <w:outlineLvl w:val="9"/>
        <w:rPr>
          <w:rFonts w:hint="default" w:ascii="Times New Roman" w:hAnsi="Times New Roman" w:eastAsia="楷体_GB2312" w:cs="Times New Roman"/>
          <w:color w:val="000000" w:themeColor="text1"/>
          <w:spacing w:val="0"/>
          <w:kern w:val="2"/>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14:textFill>
            <w14:solidFill>
              <w14:schemeClr w14:val="tx1"/>
            </w14:solidFill>
          </w14:textFill>
        </w:rPr>
        <w:t>（二）基本原则</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坚持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以人民为中心，保障医用耗材临床需求，降低价格，切实减轻患者负担；坚持采购工作</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依法合规、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公开透明、公平竞争；坚持政府主导与市场配置资源相结合，充分发挥政府引导作用，完善市场配置资源机制</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坚持充分</w:t>
      </w:r>
      <w:r>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t>发挥医保战略性购买作用，积极落实带量采购、医保支付等相关配套措施</w:t>
      </w:r>
      <w:r>
        <w:rPr>
          <w:rFonts w:hint="default" w:ascii="Times New Roman" w:hAnsi="Times New Roman" w:eastAsia="仿宋_GB2312" w:cs="Times New Roman"/>
          <w:i w:val="0"/>
          <w:caps w:val="0"/>
          <w:color w:val="000000" w:themeColor="text1"/>
          <w:spacing w:val="0"/>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textAlignment w:val="auto"/>
        <w:outlineLvl w:val="9"/>
        <w:rPr>
          <w:rFonts w:hint="default" w:ascii="Times New Roman" w:hAnsi="Times New Roman" w:eastAsia="楷体_GB2312" w:cs="Times New Roman"/>
          <w:color w:val="000000" w:themeColor="text1"/>
          <w:spacing w:val="0"/>
          <w:kern w:val="2"/>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14:textFill>
            <w14:solidFill>
              <w14:schemeClr w14:val="tx1"/>
            </w14:solidFill>
          </w14:textFill>
        </w:rPr>
        <w:t>（三）采购主体和周期</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t>全省各级公立医疗机构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必须参加医用耗材</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带量</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采购。驻湘军队医疗机构按国家政策要求参加</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带量</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采购。鼓励其他医疗机构参加医用耗材</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带量</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采购活动。本次带量采购以结果执行日起12个月为1个采购周期。如需延长采购周期，将在采购周期结束前另行公告。</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2" w:lineRule="exact"/>
        <w:ind w:left="0" w:leftChars="0" w:right="0" w:rightChars="0" w:firstLine="640" w:firstLineChars="200"/>
        <w:textAlignment w:val="auto"/>
        <w:outlineLvl w:val="9"/>
        <w:rPr>
          <w:rFonts w:hint="default" w:ascii="Times New Roman" w:hAnsi="Times New Roman" w:eastAsia="黑体"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spacing w:val="0"/>
          <w:kern w:val="2"/>
          <w:sz w:val="32"/>
          <w:szCs w:val="32"/>
          <w:highlight w:val="none"/>
          <w:lang w:val="en-US" w:eastAsia="zh-CN" w:bidi="ar-SA"/>
          <w14:textFill>
            <w14:solidFill>
              <w14:schemeClr w14:val="tx1"/>
            </w14:solidFill>
          </w14:textFill>
        </w:rPr>
        <w:t>二、采购品种</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textAlignment w:val="auto"/>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采购品种包括：吻合器（腔镜吻合器及钉匣、开放手术</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直线切割吻合器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及钉匣、管型吻合器、痔疮吻合器）、</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骨科创伤类（</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接骨板</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及</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配套螺钉</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髓内钉等）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、冠脉扩张球囊3大类医用耗材。</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参与本次带量采购的医疗机构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按产品一级目录，参考201</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9年采购情况申报采购基数，按采购基数的70%左右确定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采购周期</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约定采购量。中选产品将纳入带量采购目录管理，医疗机构需确保完成约定采购量；其余产品生产企业可自主申请，按不高于本次带量采购的产品限价和产品全国最低价的两者低值，纳入联动目录管理。</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（一）吻合器类</w:t>
      </w:r>
    </w:p>
    <w:tbl>
      <w:tblPr>
        <w:tblStyle w:val="6"/>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3038"/>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bookmarkStart w:id="0" w:name="_Hlk44598754"/>
            <w:r>
              <w:rPr>
                <w:rFonts w:hint="default" w:ascii="Times New Roman" w:hAnsi="Times New Roman" w:eastAsia="黑体" w:cs="Times New Roman"/>
                <w:color w:val="000000" w:themeColor="text1"/>
                <w:spacing w:val="0"/>
                <w:sz w:val="28"/>
                <w:szCs w:val="28"/>
                <w:highlight w:val="none"/>
                <w14:textFill>
                  <w14:solidFill>
                    <w14:schemeClr w14:val="tx1"/>
                  </w14:solidFill>
                </w14:textFill>
              </w:rPr>
              <w:t>序号</w:t>
            </w:r>
          </w:p>
        </w:tc>
        <w:tc>
          <w:tcPr>
            <w:tcW w:w="3038"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sz w:val="28"/>
                <w:szCs w:val="28"/>
                <w:highlight w:val="none"/>
                <w14:textFill>
                  <w14:solidFill>
                    <w14:schemeClr w14:val="tx1"/>
                  </w14:solidFill>
                </w14:textFill>
              </w:rPr>
              <w:t>一级目录</w:t>
            </w: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sz w:val="28"/>
                <w:szCs w:val="28"/>
                <w:highlight w:val="none"/>
                <w14:textFill>
                  <w14:solidFill>
                    <w14:schemeClr w14:val="tx1"/>
                  </w14:solidFill>
                </w14:textFill>
              </w:rPr>
              <w:t>二级目录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93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1</w:t>
            </w:r>
          </w:p>
        </w:tc>
        <w:tc>
          <w:tcPr>
            <w:tcW w:w="3038"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腔镜吻合器及钉匣（电动吻合器除外）</w:t>
            </w: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腔镜吻合器及钉匣（国产）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93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p>
        </w:tc>
        <w:tc>
          <w:tcPr>
            <w:tcW w:w="3038"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spacing w:val="0"/>
                <w:sz w:val="28"/>
                <w:szCs w:val="28"/>
                <w:highlight w:val="none"/>
                <w14:textFill>
                  <w14:solidFill>
                    <w14:schemeClr w14:val="tx1"/>
                  </w14:solidFill>
                </w14:textFill>
              </w:rPr>
              <w:t>腔镜吻合器及钉匣（进口）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3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2</w:t>
            </w:r>
          </w:p>
        </w:tc>
        <w:tc>
          <w:tcPr>
            <w:tcW w:w="3038"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开放手术</w:t>
            </w:r>
            <w:r>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t>直线</w:t>
            </w:r>
            <w:r>
              <w:rPr>
                <w:rFonts w:hint="default" w:ascii="Times New Roman" w:hAnsi="Times New Roman" w:eastAsia="仿宋_GB2312" w:cs="Times New Roman"/>
                <w:b w:val="0"/>
                <w:bCs w:val="0"/>
                <w:color w:val="000000" w:themeColor="text1"/>
                <w:spacing w:val="0"/>
                <w:sz w:val="28"/>
                <w:szCs w:val="28"/>
                <w:highlight w:val="none"/>
                <w:lang w:eastAsia="zh-CN"/>
                <w14:textFill>
                  <w14:solidFill>
                    <w14:schemeClr w14:val="tx1"/>
                  </w14:solidFill>
                </w14:textFill>
              </w:rPr>
              <w:t>切割</w:t>
            </w:r>
            <w:r>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t>吻合器</w:t>
            </w: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及钉匣</w:t>
            </w: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开放手术直线</w:t>
            </w:r>
            <w:r>
              <w:rPr>
                <w:rFonts w:hint="default" w:ascii="Times New Roman" w:hAnsi="Times New Roman" w:eastAsia="仿宋_GB2312" w:cs="Times New Roman"/>
                <w:b w:val="0"/>
                <w:bCs w:val="0"/>
                <w:color w:val="000000" w:themeColor="text1"/>
                <w:spacing w:val="0"/>
                <w:sz w:val="28"/>
                <w:szCs w:val="28"/>
                <w:highlight w:val="none"/>
                <w:lang w:val="en-US" w:eastAsia="zh-CN"/>
                <w14:textFill>
                  <w14:solidFill>
                    <w14:schemeClr w14:val="tx1"/>
                  </w14:solidFill>
                </w14:textFill>
              </w:rPr>
              <w:t>切割</w:t>
            </w: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吻合器及钉匣</w:t>
            </w:r>
            <w:r>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28"/>
                <w:szCs w:val="28"/>
                <w:highlight w:val="none"/>
                <w:lang w:val="en-US" w:eastAsia="zh-CN"/>
                <w14:textFill>
                  <w14:solidFill>
                    <w14:schemeClr w14:val="tx1"/>
                  </w14:solidFill>
                </w14:textFill>
              </w:rPr>
              <w:t>国产</w:t>
            </w:r>
            <w:r>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3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3038"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开放手术直线</w:t>
            </w:r>
            <w:r>
              <w:rPr>
                <w:rFonts w:hint="default" w:ascii="Times New Roman" w:hAnsi="Times New Roman" w:eastAsia="仿宋_GB2312" w:cs="Times New Roman"/>
                <w:b/>
                <w:bCs/>
                <w:color w:val="000000" w:themeColor="text1"/>
                <w:spacing w:val="0"/>
                <w:sz w:val="28"/>
                <w:szCs w:val="28"/>
                <w:highlight w:val="none"/>
                <w:lang w:val="en-US" w:eastAsia="zh-CN"/>
                <w14:textFill>
                  <w14:solidFill>
                    <w14:schemeClr w14:val="tx1"/>
                  </w14:solidFill>
                </w14:textFill>
              </w:rPr>
              <w:t>切割</w:t>
            </w: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吻合器及钉匣</w:t>
            </w:r>
            <w:r>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28"/>
                <w:szCs w:val="28"/>
                <w:highlight w:val="none"/>
                <w:lang w:val="en-US" w:eastAsia="zh-CN"/>
                <w14:textFill>
                  <w14:solidFill>
                    <w14:schemeClr w14:val="tx1"/>
                  </w14:solidFill>
                </w14:textFill>
              </w:rPr>
              <w:t>进口</w:t>
            </w:r>
            <w:r>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3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3</w:t>
            </w:r>
          </w:p>
        </w:tc>
        <w:tc>
          <w:tcPr>
            <w:tcW w:w="3038"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管型吻合器</w:t>
            </w: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管形吻合器（</w:t>
            </w:r>
            <w:r>
              <w:rPr>
                <w:rFonts w:hint="default" w:ascii="Times New Roman" w:hAnsi="Times New Roman" w:eastAsia="仿宋_GB2312" w:cs="Times New Roman"/>
                <w:color w:val="000000" w:themeColor="text1"/>
                <w:spacing w:val="0"/>
                <w:sz w:val="28"/>
                <w:szCs w:val="28"/>
                <w:highlight w:val="none"/>
                <w:lang w:val="en-US" w:eastAsia="zh-CN"/>
                <w14:textFill>
                  <w14:solidFill>
                    <w14:schemeClr w14:val="tx1"/>
                  </w14:solidFill>
                </w14:textFill>
              </w:rPr>
              <w:t>国产</w:t>
            </w: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3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p>
        </w:tc>
        <w:tc>
          <w:tcPr>
            <w:tcW w:w="3038"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管形吻合器（</w:t>
            </w:r>
            <w:r>
              <w:rPr>
                <w:rFonts w:hint="default" w:ascii="Times New Roman" w:hAnsi="Times New Roman" w:eastAsia="仿宋_GB2312" w:cs="Times New Roman"/>
                <w:color w:val="000000" w:themeColor="text1"/>
                <w:spacing w:val="0"/>
                <w:sz w:val="28"/>
                <w:szCs w:val="28"/>
                <w:highlight w:val="none"/>
                <w:lang w:val="en-US" w:eastAsia="zh-CN"/>
                <w14:textFill>
                  <w14:solidFill>
                    <w14:schemeClr w14:val="tx1"/>
                  </w14:solidFill>
                </w14:textFill>
              </w:rPr>
              <w:t>进口</w:t>
            </w: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37"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4</w:t>
            </w:r>
          </w:p>
        </w:tc>
        <w:tc>
          <w:tcPr>
            <w:tcW w:w="3038"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痔疮吻合器</w:t>
            </w:r>
          </w:p>
        </w:tc>
        <w:tc>
          <w:tcPr>
            <w:tcW w:w="5130"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痔疮吻合器</w:t>
            </w:r>
          </w:p>
        </w:tc>
      </w:tr>
    </w:tbl>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（二）</w:t>
      </w:r>
      <w:r>
        <w:rPr>
          <w:rFonts w:hint="default"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骨科创伤类</w:t>
      </w:r>
    </w:p>
    <w:tbl>
      <w:tblPr>
        <w:tblStyle w:val="5"/>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7"/>
        <w:gridCol w:w="1515"/>
        <w:gridCol w:w="1771"/>
        <w:gridCol w:w="234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937" w:type="dxa"/>
            <w:vMerge w:val="restart"/>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kern w:val="0"/>
                <w:sz w:val="28"/>
                <w:szCs w:val="28"/>
                <w:highlight w:val="none"/>
                <w:lang w:bidi="ar"/>
                <w14:textFill>
                  <w14:solidFill>
                    <w14:schemeClr w14:val="tx1"/>
                  </w14:solidFill>
                </w14:textFill>
              </w:rPr>
              <w:t>序号</w:t>
            </w:r>
          </w:p>
        </w:tc>
        <w:tc>
          <w:tcPr>
            <w:tcW w:w="1515" w:type="dxa"/>
            <w:vMerge w:val="restart"/>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kern w:val="0"/>
                <w:sz w:val="28"/>
                <w:szCs w:val="28"/>
                <w:highlight w:val="none"/>
                <w:lang w:bidi="ar"/>
                <w14:textFill>
                  <w14:solidFill>
                    <w14:schemeClr w14:val="tx1"/>
                  </w14:solidFill>
                </w14:textFill>
              </w:rPr>
              <w:t>一级目录</w:t>
            </w:r>
          </w:p>
        </w:tc>
        <w:tc>
          <w:tcPr>
            <w:tcW w:w="4115" w:type="dxa"/>
            <w:gridSpan w:val="2"/>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黑体" w:cs="Times New Roman"/>
                <w:color w:val="000000" w:themeColor="text1"/>
                <w:spacing w:val="0"/>
                <w:kern w:val="0"/>
                <w:sz w:val="28"/>
                <w:szCs w:val="28"/>
                <w:highlight w:val="none"/>
                <w:lang w:bidi="ar"/>
                <w14:textFill>
                  <w14:solidFill>
                    <w14:schemeClr w14:val="tx1"/>
                  </w14:solidFill>
                </w14:textFill>
              </w:rPr>
              <w:t>二级目录</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28"/>
                <w:szCs w:val="28"/>
                <w:highlight w:val="none"/>
                <w:lang w:val="en-US" w:eastAsia="zh-CN" w:bidi="ar"/>
                <w14:textFill>
                  <w14:solidFill>
                    <w14:schemeClr w14:val="tx1"/>
                  </w14:solidFill>
                </w14:textFill>
              </w:rPr>
              <w:t>三级目录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jc w:val="center"/>
        </w:trPr>
        <w:tc>
          <w:tcPr>
            <w:tcW w:w="937" w:type="dxa"/>
            <w:vMerge w:val="continue"/>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p>
        </w:tc>
        <w:tc>
          <w:tcPr>
            <w:tcW w:w="1515" w:type="dxa"/>
            <w:vMerge w:val="continue"/>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kern w:val="0"/>
                <w:sz w:val="28"/>
                <w:szCs w:val="28"/>
                <w:highlight w:val="none"/>
                <w:lang w:bidi="ar"/>
                <w14:textFill>
                  <w14:solidFill>
                    <w14:schemeClr w14:val="tx1"/>
                  </w14:solidFill>
                </w14:textFill>
              </w:rPr>
              <w:t>材质</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kern w:val="0"/>
                <w:sz w:val="28"/>
                <w:szCs w:val="28"/>
                <w:highlight w:val="none"/>
                <w:lang w:bidi="ar"/>
                <w14:textFill>
                  <w14:solidFill>
                    <w14:schemeClr w14:val="tx1"/>
                  </w14:solidFill>
                </w14:textFill>
              </w:rPr>
              <w:t>规格型号</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kern w:val="0"/>
                <w:sz w:val="28"/>
                <w:szCs w:val="28"/>
                <w:highlight w:val="none"/>
                <w:lang w:bidi="ar"/>
                <w14:textFill>
                  <w14:solidFill>
                    <w14:schemeClr w14:val="tx1"/>
                  </w14:solidFill>
                </w14:textFill>
              </w:rPr>
              <w:t>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1</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锁骨接骨板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2</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肱骨接骨板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3</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尺骨接骨板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4</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桡骨接骨板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5</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手部接骨板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腕骨/掌骨头部/掌骨基底部/掌骨干部/指骨头部/指骨干部/指骨基底部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6</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骨盆接骨板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直形/弧形/解剖形/耻骨形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7</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股骨接骨板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8</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髌骨接骨板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9</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胫骨接骨板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10</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腓骨接骨板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11</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跟骨接骨板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12</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足部接骨板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前足/中足/后足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13</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通用接骨板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直形/弧形/管形/钩形/异形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14</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肋骨接骨板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15</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胸骨接骨板</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普通/锁定加压/万向锁定</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16</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锁骨髓内钉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直型/弯形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17</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肱骨髓内钉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近端长型</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近端长型/肱骨干</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直型/</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弯形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18</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尺骨髓内钉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骨干</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/远端；</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直型</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弯形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19</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桡骨髓内钉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骨干</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20</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股骨髓内钉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val="en-US"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近端</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/干部/远端；顺行/逆行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21</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胫骨髓内钉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骨干</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/干骺端/远端；</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直型</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弯形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22</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腓骨髓内钉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直型</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弯形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23</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足踝髓内钉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直型</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弯形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24</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弹性髓内钉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带尾帽</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/不带尾帽；</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直型</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弯形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jc w:val="center"/>
        </w:trPr>
        <w:tc>
          <w:tcPr>
            <w:tcW w:w="937"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25</w:t>
            </w:r>
          </w:p>
        </w:tc>
        <w:tc>
          <w:tcPr>
            <w:tcW w:w="1515"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其他髓内钉</w:t>
            </w:r>
          </w:p>
        </w:tc>
        <w:tc>
          <w:tcPr>
            <w:tcW w:w="1771"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不锈钢/纯钛</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钛合金</w:t>
            </w:r>
            <w:r>
              <w:rPr>
                <w:rFonts w:hint="eastAsia" w:ascii="Times New Roman" w:hAnsi="Times New Roman" w:eastAsia="仿宋_GB2312" w:cs="Times New Roman"/>
                <w:color w:val="000000" w:themeColor="text1"/>
                <w:spacing w:val="0"/>
                <w:kern w:val="0"/>
                <w:sz w:val="28"/>
                <w:szCs w:val="28"/>
                <w:highlight w:val="none"/>
                <w:lang w:eastAsia="zh-CN" w:bidi="ar"/>
                <w14:textFill>
                  <w14:solidFill>
                    <w14:schemeClr w14:val="tx1"/>
                  </w14:solidFill>
                </w14:textFill>
              </w:rPr>
              <w:t>）</w:t>
            </w:r>
          </w:p>
        </w:tc>
        <w:tc>
          <w:tcPr>
            <w:tcW w:w="234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p>
        </w:tc>
        <w:tc>
          <w:tcPr>
            <w:tcW w:w="2554" w:type="dxa"/>
            <w:shd w:val="clear" w:color="auto" w:fill="auto"/>
            <w:tcMar>
              <w:top w:w="12" w:type="dxa"/>
              <w:left w:w="12" w:type="dxa"/>
              <w:right w:w="12" w:type="dxa"/>
            </w:tcMar>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left"/>
              <w:textAlignment w:val="center"/>
              <w:outlineLvl w:val="9"/>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非交锁</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交锁</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直型</w:t>
            </w:r>
            <w:r>
              <w:rPr>
                <w:rFonts w:hint="eastAsia" w:ascii="Times New Roman" w:hAnsi="Times New Roman" w:eastAsia="仿宋_GB2312" w:cs="Times New Roman"/>
                <w:color w:val="000000" w:themeColor="text1"/>
                <w:spacing w:val="0"/>
                <w:kern w:val="0"/>
                <w:sz w:val="28"/>
                <w:szCs w:val="28"/>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28"/>
                <w:szCs w:val="28"/>
                <w:highlight w:val="none"/>
                <w:lang w:bidi="ar"/>
                <w14:textFill>
                  <w14:solidFill>
                    <w14:schemeClr w14:val="tx1"/>
                  </w14:solidFill>
                </w14:textFill>
              </w:rPr>
              <w:t>弯形</w:t>
            </w:r>
          </w:p>
        </w:tc>
      </w:tr>
    </w:tbl>
    <w:p>
      <w:pPr>
        <w:keepNext w:val="0"/>
        <w:keepLines w:val="0"/>
        <w:pageBreakBefore w:val="0"/>
        <w:widowControl w:val="0"/>
        <w:shd w:val="clear"/>
        <w:kinsoku/>
        <w:wordWrap/>
        <w:overflowPunct/>
        <w:topLinePunct w:val="0"/>
        <w:autoSpaceDE/>
        <w:autoSpaceDN/>
        <w:bidi w:val="0"/>
        <w:adjustRightInd/>
        <w:snapToGrid/>
        <w:spacing w:line="592" w:lineRule="exact"/>
        <w:ind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（三）冠脉扩张球囊类</w:t>
      </w:r>
    </w:p>
    <w:tbl>
      <w:tblPr>
        <w:tblStyle w:val="6"/>
        <w:tblW w:w="91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056"/>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9"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sz w:val="28"/>
                <w:szCs w:val="28"/>
                <w:highlight w:val="none"/>
                <w14:textFill>
                  <w14:solidFill>
                    <w14:schemeClr w14:val="tx1"/>
                  </w14:solidFill>
                </w14:textFill>
              </w:rPr>
              <w:t>序号</w:t>
            </w:r>
          </w:p>
        </w:tc>
        <w:tc>
          <w:tcPr>
            <w:tcW w:w="2056"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sz w:val="28"/>
                <w:szCs w:val="28"/>
                <w:highlight w:val="none"/>
                <w14:textFill>
                  <w14:solidFill>
                    <w14:schemeClr w14:val="tx1"/>
                  </w14:solidFill>
                </w14:textFill>
              </w:rPr>
              <w:t>一级目录</w:t>
            </w:r>
          </w:p>
        </w:tc>
        <w:tc>
          <w:tcPr>
            <w:tcW w:w="6068"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黑体" w:cs="Times New Roman"/>
                <w:color w:val="000000" w:themeColor="text1"/>
                <w:spacing w:val="0"/>
                <w:sz w:val="28"/>
                <w:szCs w:val="28"/>
                <w:highlight w:val="none"/>
                <w14:textFill>
                  <w14:solidFill>
                    <w14:schemeClr w14:val="tx1"/>
                  </w14:solidFill>
                </w14:textFill>
              </w:rPr>
            </w:pPr>
            <w:r>
              <w:rPr>
                <w:rFonts w:hint="default" w:ascii="Times New Roman" w:hAnsi="Times New Roman" w:eastAsia="黑体" w:cs="Times New Roman"/>
                <w:color w:val="000000" w:themeColor="text1"/>
                <w:spacing w:val="0"/>
                <w:sz w:val="28"/>
                <w:szCs w:val="28"/>
                <w:highlight w:val="none"/>
                <w14:textFill>
                  <w14:solidFill>
                    <w14:schemeClr w14:val="tx1"/>
                  </w14:solidFill>
                </w14:textFill>
              </w:rPr>
              <w:t>二级目录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19"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1</w:t>
            </w:r>
          </w:p>
        </w:tc>
        <w:tc>
          <w:tcPr>
            <w:tcW w:w="2056" w:type="dxa"/>
            <w:vMerge w:val="restart"/>
            <w:vAlign w:val="center"/>
          </w:tcPr>
          <w:p>
            <w:pPr>
              <w:shd w:val="clear"/>
              <w:jc w:val="both"/>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冠脉扩张球囊</w:t>
            </w:r>
          </w:p>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p>
        </w:tc>
        <w:tc>
          <w:tcPr>
            <w:tcW w:w="6068"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快速交换式预扩张球囊（半顺应性球囊）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19"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2</w:t>
            </w:r>
          </w:p>
        </w:tc>
        <w:tc>
          <w:tcPr>
            <w:tcW w:w="2056"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pPr>
          </w:p>
        </w:tc>
        <w:tc>
          <w:tcPr>
            <w:tcW w:w="6068" w:type="dxa"/>
            <w:vAlign w:val="center"/>
          </w:tcPr>
          <w:p>
            <w:pPr>
              <w:keepNext w:val="0"/>
              <w:keepLines w:val="0"/>
              <w:pageBreakBefore w:val="0"/>
              <w:widowControl w:val="0"/>
              <w:shd w:val="clea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0"/>
                <w:sz w:val="28"/>
                <w:szCs w:val="28"/>
                <w:highlight w:val="none"/>
                <w14:textFill>
                  <w14:solidFill>
                    <w14:schemeClr w14:val="tx1"/>
                  </w14:solidFill>
                </w14:textFill>
              </w:rPr>
              <w:t>快速交换式后扩张球囊（非顺应性球囊</w:t>
            </w:r>
            <w:r>
              <w:rPr>
                <w:rFonts w:hint="default" w:ascii="Times New Roman" w:hAnsi="Times New Roman" w:eastAsia="仿宋_GB2312" w:cs="Times New Roman"/>
                <w:color w:val="000000" w:themeColor="text1"/>
                <w:spacing w:val="0"/>
                <w:sz w:val="28"/>
                <w:szCs w:val="28"/>
                <w:highlight w:val="none"/>
                <w:lang w:eastAsia="zh-CN"/>
                <w14:textFill>
                  <w14:solidFill>
                    <w14:schemeClr w14:val="tx1"/>
                  </w14:solidFill>
                </w14:textFill>
              </w:rPr>
              <w:t>）</w:t>
            </w:r>
          </w:p>
        </w:tc>
      </w:tr>
    </w:tbl>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黑体" w:cs="Times New Roman"/>
          <w:color w:val="000000" w:themeColor="text1"/>
          <w:spacing w:val="0"/>
          <w:sz w:val="32"/>
          <w:szCs w:val="32"/>
          <w:highlight w:val="none"/>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14:textFill>
            <w14:solidFill>
              <w14:schemeClr w14:val="tx1"/>
            </w14:solidFill>
          </w14:textFill>
        </w:rPr>
        <w:t>三、</w:t>
      </w: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w:t>
      </w:r>
      <w:r>
        <w:rPr>
          <w:rFonts w:hint="default" w:ascii="Times New Roman" w:hAnsi="Times New Roman" w:eastAsia="黑体" w:cs="Times New Roman"/>
          <w:color w:val="000000" w:themeColor="text1"/>
          <w:spacing w:val="0"/>
          <w:sz w:val="32"/>
          <w:szCs w:val="32"/>
          <w:highlight w:val="none"/>
          <w14:textFill>
            <w14:solidFill>
              <w14:schemeClr w14:val="tx1"/>
            </w14:solidFill>
          </w14:textFill>
        </w:rPr>
        <w:t>企业</w:t>
      </w: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要求</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经药监部门批准，获得有效医疗器械注册证的企业（境外生产企业应当在中华人民共和国境内设立代表机构或者指定企业法人作为代理人，并承担相应的法律责任）。</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（二）产品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质量标准，企业生产、供应和服务能力，企业诚信等方面达到本次集中带量采购要求。</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（三）</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带量</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采购全系列产品，企业应具备较为齐全的生产资质和能力</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（四）提供有关招标产品2019年度销售金额情况的企业年报、完税证明等资料，并对资料的真实性、合法性负责。</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黑体"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val="en-US" w:eastAsia="zh-CN"/>
          <w14:textFill>
            <w14:solidFill>
              <w14:schemeClr w14:val="tx1"/>
            </w14:solidFill>
          </w14:textFill>
        </w:rPr>
        <w:t>四、企业报价要求</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企业按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组套</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产品进行报价，报价不能高于</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产品的限价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，且不能高于本产品</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2019年度在湖南省公立医疗机构的实际销售最低价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黑体" w:cs="Times New Roman"/>
          <w:color w:val="000000" w:themeColor="text1"/>
          <w:spacing w:val="0"/>
          <w:sz w:val="32"/>
          <w:szCs w:val="32"/>
          <w:highlight w:val="none"/>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五</w:t>
      </w:r>
      <w:r>
        <w:rPr>
          <w:rFonts w:hint="default" w:ascii="Times New Roman" w:hAnsi="Times New Roman" w:eastAsia="黑体" w:cs="Times New Roman"/>
          <w:color w:val="000000" w:themeColor="text1"/>
          <w:spacing w:val="0"/>
          <w:sz w:val="32"/>
          <w:szCs w:val="32"/>
          <w:highlight w:val="none"/>
          <w14:textFill>
            <w14:solidFill>
              <w14:schemeClr w14:val="tx1"/>
            </w14:solidFill>
          </w14:textFill>
        </w:rPr>
        <w:t>、评审规则</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（一）吻合器类</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划分</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吻合器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类采购品种</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包括腔镜吻合器及钉匣、开放手术</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直线切割吻合器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及钉匣</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管型吻合器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痔疮吻</w:t>
      </w:r>
      <w:r>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t>合器</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。其中：</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腔镜吻合器组、开放手术</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直线切割吻合器、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管型吻合器根据注册证分进口和国产评审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投标企业品种（按所有一级目录产品统计，下同）2019年度的销售总金额（以出厂</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量和出厂</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价格统计，下同）等于或大于1个亿，投标产品列为A评审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组；2019年度在</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湖南省</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有销售记录的</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进口产品为B评审竞价组；其余投标企业品种为C评审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痔疮吻合器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不区分</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进口和国产评审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投标国有企业品种2019年度销售总金额等于或大于1个亿，投标产品列为A评审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组，投标的进口产品直接列为A评审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组；其余投标企业品种列为B评审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各类型</w:t>
      </w:r>
      <w:r>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t>电动吻合器</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highlight w:val="none"/>
          <w:shd w:val="clear"/>
          <w14:textFill>
            <w14:solidFill>
              <w14:schemeClr w14:val="tx1"/>
            </w14:solidFill>
          </w14:textFill>
        </w:rPr>
        <w:t>痔疮套扎器</w:t>
      </w:r>
      <w:r>
        <w:rPr>
          <w:rFonts w:hint="default" w:ascii="Times New Roman" w:hAnsi="Times New Roman" w:eastAsia="仿宋_GB2312" w:cs="Times New Roman"/>
          <w:i w:val="0"/>
          <w:caps w:val="0"/>
          <w:color w:val="000000" w:themeColor="text1"/>
          <w:spacing w:val="0"/>
          <w:sz w:val="32"/>
          <w:szCs w:val="32"/>
          <w:highlight w:val="none"/>
          <w:shd w:val="clear"/>
          <w:lang w:eastAsia="zh-CN"/>
          <w14:textFill>
            <w14:solidFill>
              <w14:schemeClr w14:val="tx1"/>
            </w14:solidFill>
          </w14:textFill>
        </w:rPr>
        <w:t>等</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不纳入此次带量采购范</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围，直接</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纳入</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联动</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目录管理</w:t>
      </w:r>
      <w:r>
        <w:rPr>
          <w:rFonts w:hint="default" w:ascii="Times New Roman" w:hAnsi="Times New Roman" w:eastAsia="仿宋_GB2312" w:cs="Times New Roman"/>
          <w:color w:val="000000" w:themeColor="text1"/>
          <w:spacing w:val="0"/>
          <w:sz w:val="32"/>
          <w:szCs w:val="32"/>
          <w:highlight w:val="none"/>
          <w:u w:val="none"/>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组套价格</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及降幅</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）组套价格。</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同一</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企业吻合器和</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配套</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钉匣</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（指一个</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钉匣</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采购价之和作为组套价格</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，企业按组套价格进行报价。投标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企业应</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如实提供可供应清单，同一</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竞价组中，同一投标企业所有供应清单内产品视同一个投标品种。</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）限价。根据</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组套</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产品历史销售价格和成本等因素，由专家评审确定各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产品的限价（以元为单位，保留小数点后2位）</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，同一投标产品</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A组、B组、C组为同一限价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）投标产品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降幅=（评审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产品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企业报价）/评审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产品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中选规则</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评审竞价组投标企业小于或等于</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家时，</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投标产品</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降幅达到同个一级目录的A组拟中选产品平均降幅，均确定为拟</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；投标产品</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降幅未达到同个一级目录的A组拟中选产品平均降幅，且达到同个一级目录的中选产品最低降幅，降幅较高的为拟</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竞价评审组投标企业大于</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家时，</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根据企业报价，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同组内产品组套价格</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由低到高确定拟</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中选产品</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，其中</w:t>
      </w:r>
      <w:r>
        <w:rPr>
          <w:rFonts w:hint="eastAsia" w:ascii="仿宋" w:hAnsi="仿宋" w:eastAsia="仿宋" w:cs="仿宋"/>
          <w:color w:val="000000" w:themeColor="text1"/>
          <w:sz w:val="32"/>
          <w:szCs w:val="32"/>
          <w:highlight w:val="none"/>
          <w14:textFill>
            <w14:solidFill>
              <w14:schemeClr w14:val="tx1"/>
            </w14:solidFill>
          </w14:textFill>
        </w:rPr>
        <w:t>价格最低者为首选产品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。若出现相同</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报</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依据</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投标企业品种2019年度销售总金额</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由大到小优先确定。</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C组产品中选价格不得高于A组产品最高中选价格</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。拟中选企业数量如下：</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（1）A组</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ind w:firstLine="0" w:firstLineChars="0"/>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投标企业数</w:t>
            </w:r>
          </w:p>
        </w:tc>
        <w:tc>
          <w:tcPr>
            <w:tcW w:w="3899" w:type="dxa"/>
            <w:vAlign w:val="center"/>
          </w:tcPr>
          <w:p>
            <w:pPr>
              <w:widowControl/>
              <w:shd w:val="clear"/>
              <w:spacing w:line="600" w:lineRule="exact"/>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&gt;10</w:t>
            </w:r>
          </w:p>
        </w:tc>
        <w:tc>
          <w:tcPr>
            <w:tcW w:w="3899"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p>
        </w:tc>
      </w:tr>
    </w:tbl>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B</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ind w:firstLine="0" w:firstLineChars="0"/>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投标企业数</w:t>
            </w:r>
          </w:p>
        </w:tc>
        <w:tc>
          <w:tcPr>
            <w:tcW w:w="3899" w:type="dxa"/>
            <w:vAlign w:val="center"/>
          </w:tcPr>
          <w:p>
            <w:pPr>
              <w:widowControl/>
              <w:shd w:val="clear"/>
              <w:spacing w:line="600" w:lineRule="exact"/>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&gt;10</w:t>
            </w:r>
          </w:p>
        </w:tc>
        <w:tc>
          <w:tcPr>
            <w:tcW w:w="3899"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p>
        </w:tc>
      </w:tr>
    </w:tbl>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）C组</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ind w:firstLine="0" w:firstLineChars="0"/>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投标企业数</w:t>
            </w:r>
          </w:p>
        </w:tc>
        <w:tc>
          <w:tcPr>
            <w:tcW w:w="3899" w:type="dxa"/>
            <w:vAlign w:val="center"/>
          </w:tcPr>
          <w:p>
            <w:pPr>
              <w:widowControl/>
              <w:shd w:val="clear"/>
              <w:spacing w:line="600" w:lineRule="exact"/>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4-6</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&gt;10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p>
        </w:tc>
      </w:tr>
    </w:tbl>
    <w:p>
      <w:pPr>
        <w:keepNext w:val="0"/>
        <w:keepLines w:val="0"/>
        <w:pageBreakBefore w:val="0"/>
        <w:widowControl w:val="0"/>
        <w:shd w:val="clear"/>
        <w:kinsoku/>
        <w:wordWrap/>
        <w:overflowPunct/>
        <w:topLinePunct w:val="0"/>
        <w:autoSpaceDE/>
        <w:autoSpaceDN/>
        <w:bidi w:val="0"/>
        <w:adjustRightInd/>
        <w:snapToGrid/>
        <w:spacing w:line="592" w:lineRule="exact"/>
        <w:ind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（二）</w:t>
      </w:r>
      <w:r>
        <w:rPr>
          <w:rFonts w:hint="default"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骨科创伤类</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入围</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条件</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投标企业入围需同时满足以下三个条件：</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instrText xml:space="preserve"> = 1 \* GB3 \* MERGEFORMAT </w:instrTex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①</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具备“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一级目录</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全系列产品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生产资质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instrText xml:space="preserve"> = 2 \* GB3 \* MERGEFORMAT </w:instrTex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②</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一级目录</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全系列产品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中，</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钛合金和纯钛材质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必须</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至少有一种；</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instrText xml:space="preserve"> = 3 \* GB3 \* MERGEFORMAT </w:instrTex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③</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一级目录</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全系列产品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中，</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锁定加压板</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型号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必须齐全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fldChar w:fldCharType="begin"/>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instrText xml:space="preserve"> = 4 \* GB3 \* MERGEFORMAT </w:instrTex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④</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fldChar w:fldCharType="end"/>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企业应</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如实提供可供应清单，并作出书面供应保障承诺。</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划分</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投标国产企业品种2019年度销售总金额等于或大于1个亿，投标产品列为A评审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组，投标的进口产品直接列为A评审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组；其余投标企业品种列为B评审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限价、综合降幅</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）代表品。按照</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骨科</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创伤类</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类</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耗材二级目录确定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锁骨接骨板</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不锈钢</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材质</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普通</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型号”为一个</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。由专家评审确定某一</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产品为</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骨科</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创伤类</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耗材代表品。</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。根据</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组套</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产品历史销售价格和成本等因素，由专家评审确定代表品和各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基础款</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限价（以元为单位，保留小数点后2位）。</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其中，一级目录下，</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不锈钢材质、普通型接骨板为基础款，</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由专家</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评审确定基础款限价（含髓内钉）及二级目录间比价系数。如相同部位，不锈钢材质与钛合金（纯钛）比价关系为1：X；普通型/锁定加压板/万向锁定板比价关系为1：Y：Z；三级目录中</w:t>
      </w:r>
      <w:r>
        <w:rPr>
          <w:rFonts w:hint="default" w:ascii="Times New Roman" w:hAnsi="Times New Roman" w:eastAsia="仿宋_GB2312" w:cs="Times New Roman"/>
          <w:color w:val="000000" w:themeColor="text1"/>
          <w:spacing w:val="0"/>
          <w:kern w:val="2"/>
          <w:sz w:val="32"/>
          <w:szCs w:val="32"/>
          <w:highlight w:val="none"/>
          <w:lang w:bidi="ar"/>
          <w14:textFill>
            <w14:solidFill>
              <w14:schemeClr w14:val="tx1"/>
            </w14:solidFill>
          </w14:textFill>
        </w:rPr>
        <w:t>近端/干部/远端</w:t>
      </w:r>
      <w:r>
        <w:rPr>
          <w:rFonts w:hint="default" w:ascii="Times New Roman" w:hAnsi="Times New Roman" w:eastAsia="仿宋_GB2312" w:cs="Times New Roman"/>
          <w:color w:val="000000" w:themeColor="text1"/>
          <w:spacing w:val="0"/>
          <w:kern w:val="2"/>
          <w:sz w:val="32"/>
          <w:szCs w:val="32"/>
          <w:highlight w:val="none"/>
          <w:lang w:val="en-US" w:eastAsia="zh-CN" w:bidi="ar"/>
          <w14:textFill>
            <w14:solidFill>
              <w14:schemeClr w14:val="tx1"/>
            </w14:solidFill>
          </w14:textFill>
        </w:rPr>
        <w:t>等产品限价不做区分</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。例：</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限价（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钛合金、锁定加压板</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=基础款限价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X</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Y。</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同一投标产品</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A组、B组为同一限价。</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降幅</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降幅=（</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报价）/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限价。</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中选规则</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按投标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报价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报价为包含配套螺钉在内的整套价格</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由低到高确定拟中选产品</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，其中</w:t>
      </w:r>
      <w:r>
        <w:rPr>
          <w:rFonts w:hint="eastAsia" w:ascii="仿宋" w:hAnsi="仿宋" w:eastAsia="仿宋" w:cs="仿宋"/>
          <w:color w:val="000000" w:themeColor="text1"/>
          <w:sz w:val="32"/>
          <w:szCs w:val="32"/>
          <w:highlight w:val="none"/>
          <w14:textFill>
            <w14:solidFill>
              <w14:schemeClr w14:val="tx1"/>
            </w14:solidFill>
          </w14:textFill>
        </w:rPr>
        <w:t>价格最低者为首选产品</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若出现相同</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报</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依据</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投标企业品种2019年度销售总金额</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由大到小优先确定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代表品拟</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中选后</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该企业非代表品</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骨科创伤类</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产品均按</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降幅计算</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拟</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中选价格。非代表品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拟</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中选价格=非代表品评审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限</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价×（1-</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代表品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降幅）。</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B组代表品中选价格不得高于A组代表品最高中选价格。</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根据代表品入围企业数量，确定拟中选企业数量如下：</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（1）A组</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ind w:firstLine="0" w:firstLineChars="0"/>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投标企业数</w:t>
            </w:r>
          </w:p>
        </w:tc>
        <w:tc>
          <w:tcPr>
            <w:tcW w:w="3899" w:type="dxa"/>
            <w:vAlign w:val="center"/>
          </w:tcPr>
          <w:p>
            <w:pPr>
              <w:widowControl/>
              <w:shd w:val="clear"/>
              <w:spacing w:line="600" w:lineRule="exact"/>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1-6</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&gt;10</w:t>
            </w:r>
          </w:p>
        </w:tc>
        <w:tc>
          <w:tcPr>
            <w:tcW w:w="3899"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p>
        </w:tc>
      </w:tr>
    </w:tbl>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（2）B组</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ind w:firstLine="0" w:firstLineChars="0"/>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投标企业数</w:t>
            </w:r>
          </w:p>
        </w:tc>
        <w:tc>
          <w:tcPr>
            <w:tcW w:w="3899" w:type="dxa"/>
            <w:vAlign w:val="center"/>
          </w:tcPr>
          <w:p>
            <w:pPr>
              <w:widowControl/>
              <w:shd w:val="clear"/>
              <w:spacing w:line="600" w:lineRule="exact"/>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1-6</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&gt;10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p>
        </w:tc>
      </w:tr>
    </w:tbl>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（三）冠脉扩张球囊类</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划分</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投标国产企业品种2019年度销售总金额等于或大于1个亿，投标产品列为A评审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境内销售额</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等于或大于1个亿的进口产品列为A评审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组；其余投标企业品种列为B评审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组。</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2、限价。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根据</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组套</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产品历史销售价格和成本等因素，由专家评审确定各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评审</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竞价组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产品的限价（以元为单位，保留小数点后2位）</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，同一投标产品</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A组、B组为同一限价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中选规则</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同评审竞价组产品，按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企业报价</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由低到高确定拟中选产品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其中</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价格最低者为首选产品。</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若出现相同报价</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依据</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投标企业品种（按一级目录所有产品统计）2019年度销售总金额</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由大到小优先确定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B组代表品中选价格不得高于A组代表品最高中选价格。</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确定拟中选企业数量如下：</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（1）A组</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ind w:firstLine="0" w:firstLineChars="0"/>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投标企业数</w:t>
            </w:r>
          </w:p>
        </w:tc>
        <w:tc>
          <w:tcPr>
            <w:tcW w:w="3899" w:type="dxa"/>
            <w:vAlign w:val="center"/>
          </w:tcPr>
          <w:p>
            <w:pPr>
              <w:widowControl/>
              <w:shd w:val="clear"/>
              <w:spacing w:line="600" w:lineRule="exact"/>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1-6</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&gt;10</w:t>
            </w:r>
          </w:p>
        </w:tc>
        <w:tc>
          <w:tcPr>
            <w:tcW w:w="3899" w:type="dxa"/>
            <w:vAlign w:val="center"/>
          </w:tcPr>
          <w:p>
            <w:pPr>
              <w:widowControl/>
              <w:shd w:val="clear"/>
              <w:spacing w:line="600" w:lineRule="exact"/>
              <w:jc w:val="cente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p>
        </w:tc>
      </w:tr>
    </w:tbl>
    <w:p>
      <w:pPr>
        <w:keepNext w:val="0"/>
        <w:keepLines w:val="0"/>
        <w:pageBreakBefore w:val="0"/>
        <w:widowControl w:val="0"/>
        <w:numPr>
          <w:ilvl w:val="-1"/>
          <w:numId w:val="0"/>
        </w:numPr>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（2）B组</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ind w:firstLine="0" w:firstLineChars="0"/>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投标企业数</w:t>
            </w:r>
          </w:p>
        </w:tc>
        <w:tc>
          <w:tcPr>
            <w:tcW w:w="3899" w:type="dxa"/>
            <w:vAlign w:val="center"/>
          </w:tcPr>
          <w:p>
            <w:pPr>
              <w:widowControl/>
              <w:shd w:val="clear"/>
              <w:spacing w:line="600" w:lineRule="exact"/>
              <w:jc w:val="center"/>
              <w:rPr>
                <w:rFonts w:hint="default" w:ascii="Times New Roman" w:hAnsi="Times New Roman" w:eastAsia="黑体"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最多中选企业数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1-6</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3" w:type="dxa"/>
            <w:vAlign w:val="center"/>
          </w:tcPr>
          <w:p>
            <w:pPr>
              <w:widowControl/>
              <w:shd w:val="clear"/>
              <w:spacing w:line="600" w:lineRule="exact"/>
              <w:jc w:val="center"/>
              <w:rPr>
                <w:rFonts w:hint="default" w:ascii="Times New Roman" w:hAnsi="Times New Roman" w:eastAsia="方正仿宋_GBK" w:cs="Times New Roman"/>
                <w:color w:val="000000" w:themeColor="text1"/>
                <w:spacing w:val="0"/>
                <w:sz w:val="32"/>
                <w:szCs w:val="32"/>
                <w:highlight w:val="none"/>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&gt;10</w:t>
            </w:r>
          </w:p>
        </w:tc>
        <w:tc>
          <w:tcPr>
            <w:tcW w:w="3899" w:type="dxa"/>
            <w:vAlign w:val="center"/>
          </w:tcPr>
          <w:p>
            <w:pPr>
              <w:widowControl/>
              <w:shd w:val="clear"/>
              <w:spacing w:line="600" w:lineRule="exact"/>
              <w:jc w:val="center"/>
              <w:rPr>
                <w:rFonts w:hint="default" w:ascii="Times New Roman" w:hAnsi="Times New Roman" w:eastAsia="仿宋_GB2312" w:cs="Times New Roman"/>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p>
        </w:tc>
      </w:tr>
    </w:tbl>
    <w:p>
      <w:pPr>
        <w:keepNext w:val="0"/>
        <w:keepLines w:val="0"/>
        <w:pageBreakBefore w:val="0"/>
        <w:widowControl w:val="0"/>
        <w:shd w:val="clear"/>
        <w:kinsoku/>
        <w:wordWrap/>
        <w:overflowPunct/>
        <w:topLinePunct w:val="0"/>
        <w:autoSpaceDE/>
        <w:autoSpaceDN/>
        <w:bidi w:val="0"/>
        <w:adjustRightInd/>
        <w:snapToGrid/>
        <w:spacing w:line="592" w:lineRule="exact"/>
        <w:ind w:right="0" w:rightChars="0" w:firstLine="640" w:firstLineChars="200"/>
        <w:outlineLvl w:val="9"/>
        <w:rPr>
          <w:rFonts w:hint="default" w:ascii="Times New Roman" w:hAnsi="Times New Roman" w:eastAsia="黑体" w:cs="Times New Roman"/>
          <w:color w:val="000000" w:themeColor="text1"/>
          <w:spacing w:val="0"/>
          <w:sz w:val="32"/>
          <w:szCs w:val="32"/>
          <w:highlight w:val="none"/>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六</w:t>
      </w:r>
      <w:r>
        <w:rPr>
          <w:rFonts w:hint="default" w:ascii="Times New Roman" w:hAnsi="Times New Roman" w:eastAsia="黑体" w:cs="Times New Roman"/>
          <w:color w:val="000000" w:themeColor="text1"/>
          <w:spacing w:val="0"/>
          <w:sz w:val="32"/>
          <w:szCs w:val="32"/>
          <w:highlight w:val="none"/>
          <w14:textFill>
            <w14:solidFill>
              <w14:schemeClr w14:val="tx1"/>
            </w14:solidFill>
          </w14:textFill>
        </w:rPr>
        <w:t>、中选品种确定</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（一）拟中选结果纠偏</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FangSong_GB2312" w:cs="Times New Roman"/>
          <w:color w:val="000000" w:themeColor="text1"/>
          <w:sz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拟中选</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价格异常、同评审竞价组拟中选价格相差过大的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原则上可进行价格纠偏，必要时组织专家进行价格纠偏谈判。</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同品种中选价格高于外省市带量采购中选价格的，应联动外省市带量采购中选价格。</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对价格异常但不接受价格纠偏</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或联动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的，可取消其</w:t>
      </w:r>
      <w:r>
        <w:rPr>
          <w:rFonts w:hint="default" w:ascii="Times New Roman" w:hAnsi="Times New Roman" w:eastAsia="FangSong_GB2312" w:cs="Times New Roman"/>
          <w:color w:val="000000" w:themeColor="text1"/>
          <w:sz w:val="32"/>
          <w:highlight w:val="none"/>
          <w14:textFill>
            <w14:solidFill>
              <w14:schemeClr w14:val="tx1"/>
            </w14:solidFill>
          </w14:textFill>
        </w:rPr>
        <w:t>拟中</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选</w:t>
      </w:r>
      <w:r>
        <w:rPr>
          <w:rFonts w:hint="default" w:ascii="Times New Roman" w:hAnsi="Times New Roman" w:eastAsia="FangSong_GB2312" w:cs="Times New Roman"/>
          <w:color w:val="000000" w:themeColor="text1"/>
          <w:sz w:val="32"/>
          <w:highlight w:val="none"/>
          <w14:textFill>
            <w14:solidFill>
              <w14:schemeClr w14:val="tx1"/>
            </w14:solidFill>
          </w14:textFill>
        </w:rPr>
        <w:t>资格或中</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选</w:t>
      </w:r>
      <w:r>
        <w:rPr>
          <w:rFonts w:hint="default" w:ascii="Times New Roman" w:hAnsi="Times New Roman" w:eastAsia="FangSong_GB2312" w:cs="Times New Roman"/>
          <w:color w:val="000000" w:themeColor="text1"/>
          <w:sz w:val="32"/>
          <w:highlight w:val="none"/>
          <w14:textFill>
            <w14:solidFill>
              <w14:schemeClr w14:val="tx1"/>
            </w14:solidFill>
          </w14:textFill>
        </w:rPr>
        <w:t>资格。</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同</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评审竞价组</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中选的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不同型号产品，可适当考虑成本因素进行价格纠偏。</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根据临床意见，结合中选结果，可进一步采取谈判等议价方式，满足临床使用需求。</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（二）拟中选结果公示</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拟中选结果</w:t>
      </w:r>
      <w:r>
        <w:rPr>
          <w:rFonts w:hint="default" w:ascii="Times New Roman" w:hAnsi="Times New Roman" w:eastAsia="FangSong_GB2312" w:cs="Times New Roman"/>
          <w:color w:val="000000" w:themeColor="text1"/>
          <w:sz w:val="32"/>
          <w:highlight w:val="none"/>
          <w14:textFill>
            <w14:solidFill>
              <w14:schemeClr w14:val="tx1"/>
            </w14:solidFill>
          </w14:textFill>
        </w:rPr>
        <w:t>通过省采购平台</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公示，并接受申投诉。</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（三）中选结果公布</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拟中选结果公示无异议</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和对相关</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申投诉</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进行处理</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后，</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按程序公布</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执行。</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黑体" w:cs="Times New Roman"/>
          <w:color w:val="000000" w:themeColor="text1"/>
          <w:spacing w:val="0"/>
          <w:sz w:val="32"/>
          <w:szCs w:val="32"/>
          <w:highlight w:val="none"/>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七</w:t>
      </w:r>
      <w:r>
        <w:rPr>
          <w:rFonts w:hint="default" w:ascii="Times New Roman" w:hAnsi="Times New Roman" w:eastAsia="黑体" w:cs="Times New Roman"/>
          <w:color w:val="000000" w:themeColor="text1"/>
          <w:spacing w:val="0"/>
          <w:sz w:val="32"/>
          <w:szCs w:val="32"/>
          <w:highlight w:val="none"/>
          <w14:textFill>
            <w14:solidFill>
              <w14:schemeClr w14:val="tx1"/>
            </w14:solidFill>
          </w14:textFill>
        </w:rPr>
        <w:t>、采购与配送</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（一）集中带量采购结果执行周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期中，各医疗机构必须完成中选产品</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约</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定采购量</w:t>
      </w:r>
      <w:r>
        <w:rPr>
          <w:rFonts w:hint="eastAsia"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且</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必须</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采购中选产品中的首选产品，在此基础上，</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吻合器类，A组中选产品约定采购量不得低于该类中标产品总约定采购量的</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%；骨科创伤类、冠脉扩张球囊类A组中选产品约定采购量不得低于该类中标产品总约定采购量的80%</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在完成</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约定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采购量的基础上，剩余用量可</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通过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湖南省医用耗材集中采购系统</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采购</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联动目录内产品</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联动目录类产品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采购</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金额不得超过</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本</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医疗机构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同品类产品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采购总</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金额的</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0%</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带量采购目录和</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联动目录内采购金额原则上不得超过上年度本医疗机构同类产品实际采购金额，具体管理办法另行制定。</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医疗机构不得采购</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带量采购目录和</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联动目录之外的同类产品，否则，医保基金不予支付</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二</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）中选品种纳入各医疗机构采购目录</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各级卫生健康、医保部门和医疗机构不得以医用耗材使用品种数量、器械耗材委员会评审为由影响中选产品的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采购</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使用。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医疗机构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不得</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对</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中选品种进行</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各种形式的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二次议价。</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）采购周期内若提前完成当年约定采购量，超过部分中选企业仍应按中选价格进行供应。</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四</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）中选结果公布后，各医疗机构按照中选产品及其中选价格与配送企业、生产企业签订带量购销合同，并严格履行购销合同，切实保障医用耗材质量和供应。</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黑体" w:cs="Times New Roman"/>
          <w:color w:val="000000" w:themeColor="text1"/>
          <w:spacing w:val="0"/>
          <w:sz w:val="32"/>
          <w:szCs w:val="32"/>
          <w:highlight w:val="none"/>
          <w14:textFill>
            <w14:solidFill>
              <w14:schemeClr w14:val="tx1"/>
            </w14:solidFill>
          </w14:textFill>
        </w:rPr>
      </w:pPr>
      <w:r>
        <w:rPr>
          <w:rFonts w:hint="default" w:ascii="Times New Roman" w:hAnsi="Times New Roman" w:eastAsia="黑体" w:cs="Times New Roman"/>
          <w:color w:val="000000" w:themeColor="text1"/>
          <w:spacing w:val="0"/>
          <w:sz w:val="32"/>
          <w:szCs w:val="32"/>
          <w:highlight w:val="none"/>
          <w:lang w:eastAsia="zh-CN"/>
          <w14:textFill>
            <w14:solidFill>
              <w14:schemeClr w14:val="tx1"/>
            </w14:solidFill>
          </w14:textFill>
        </w:rPr>
        <w:t>八</w:t>
      </w:r>
      <w:r>
        <w:rPr>
          <w:rFonts w:hint="default" w:ascii="Times New Roman" w:hAnsi="Times New Roman" w:eastAsia="黑体" w:cs="Times New Roman"/>
          <w:color w:val="000000" w:themeColor="text1"/>
          <w:spacing w:val="0"/>
          <w:sz w:val="32"/>
          <w:szCs w:val="32"/>
          <w:highlight w:val="none"/>
          <w14:textFill>
            <w14:solidFill>
              <w14:schemeClr w14:val="tx1"/>
            </w14:solidFill>
          </w14:textFill>
        </w:rPr>
        <w:t>、医用耗材配送</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选生产企业直接配送或委托已在省采购平台上备案的具有配送资质和能力的配送企业配送。生产企业是保障医用耗材产品质量和供应的第一责任人，对配送产品的质量和配送服务负主体责任。生产企业应按相对集中的原则，并充分考虑医疗机构对配送企业服务质量、服务信誉的认同程度等，选择配送企业。</w:t>
      </w:r>
    </w:p>
    <w:p>
      <w:pPr>
        <w:pStyle w:val="4"/>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outlineLvl w:val="9"/>
        <w:rPr>
          <w:rFonts w:hint="default" w:ascii="Times New Roman" w:hAnsi="Times New Roman" w:eastAsia="黑体" w:cs="Times New Roman"/>
          <w:color w:val="000000" w:themeColor="text1"/>
          <w:spacing w:val="0"/>
          <w:kern w:val="2"/>
          <w:sz w:val="32"/>
          <w:szCs w:val="32"/>
          <w:highlight w:val="none"/>
          <w:lang w:val="zh-CN" w:eastAsia="zh-CN" w:bidi="ar-SA"/>
          <w14:textFill>
            <w14:solidFill>
              <w14:schemeClr w14:val="tx1"/>
            </w14:solidFill>
          </w14:textFill>
        </w:rPr>
      </w:pPr>
      <w:r>
        <w:rPr>
          <w:rFonts w:hint="default" w:ascii="Times New Roman" w:hAnsi="Times New Roman" w:eastAsia="黑体" w:cs="Times New Roman"/>
          <w:color w:val="000000" w:themeColor="text1"/>
          <w:spacing w:val="0"/>
          <w:kern w:val="2"/>
          <w:sz w:val="32"/>
          <w:szCs w:val="32"/>
          <w:highlight w:val="none"/>
          <w:lang w:val="en-US" w:eastAsia="zh-CN" w:bidi="ar-SA"/>
          <w14:textFill>
            <w14:solidFill>
              <w14:schemeClr w14:val="tx1"/>
            </w14:solidFill>
          </w14:textFill>
        </w:rPr>
        <w:t>九、货款</w:t>
      </w:r>
      <w:r>
        <w:rPr>
          <w:rFonts w:hint="default" w:ascii="Times New Roman" w:hAnsi="Times New Roman" w:eastAsia="黑体" w:cs="Times New Roman"/>
          <w:color w:val="000000" w:themeColor="text1"/>
          <w:spacing w:val="0"/>
          <w:kern w:val="2"/>
          <w:sz w:val="32"/>
          <w:szCs w:val="32"/>
          <w:highlight w:val="none"/>
          <w:lang w:val="zh-CN" w:eastAsia="zh-CN" w:bidi="ar-SA"/>
          <w14:textFill>
            <w14:solidFill>
              <w14:schemeClr w14:val="tx1"/>
            </w14:solidFill>
          </w14:textFill>
        </w:rPr>
        <w:t>结算</w:t>
      </w:r>
    </w:p>
    <w:p>
      <w:pPr>
        <w:keepNext w:val="0"/>
        <w:keepLines w:val="0"/>
        <w:pageBreakBefore w:val="0"/>
        <w:widowControl w:val="0"/>
        <w:shd w:val="clear"/>
        <w:tabs>
          <w:tab w:val="left" w:pos="602"/>
        </w:tabs>
        <w:kinsoku/>
        <w:wordWrap/>
        <w:overflowPunct/>
        <w:topLinePunct w:val="0"/>
        <w:autoSpaceDE/>
        <w:autoSpaceDN/>
        <w:bidi w:val="0"/>
        <w:adjustRightInd/>
        <w:snapToGrid/>
        <w:spacing w:line="592" w:lineRule="exact"/>
        <w:ind w:left="0" w:leftChars="0" w:right="0" w:rightChars="0" w:firstLine="640" w:firstLineChars="200"/>
        <w:jc w:val="left"/>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（一）</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医疗机构应将医用耗材收支纳入预算管理，医药购销合同约定的货款结算周期</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不得大于</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90天</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shd w:val="clear"/>
        <w:tabs>
          <w:tab w:val="left" w:pos="602"/>
        </w:tabs>
        <w:kinsoku/>
        <w:wordWrap/>
        <w:overflowPunct/>
        <w:topLinePunct w:val="0"/>
        <w:autoSpaceDE/>
        <w:autoSpaceDN/>
        <w:bidi w:val="0"/>
        <w:adjustRightInd/>
        <w:snapToGrid/>
        <w:spacing w:line="592" w:lineRule="exact"/>
        <w:ind w:left="0" w:leftChars="0" w:right="0" w:rightChars="0" w:firstLine="640" w:firstLineChars="200"/>
        <w:jc w:val="left"/>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（二）</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省采购平台推进完善在线结算集中支付，实现医用耗材货款在线结算，并实时监控货款结算情况。</w:t>
      </w:r>
      <w:r>
        <w:rPr>
          <w:rFonts w:hint="default" w:ascii="Times New Roman" w:hAnsi="Times New Roman" w:eastAsia="仿宋_GB2312" w:cs="Times New Roman"/>
          <w:b w:val="0"/>
          <w:bCs w:val="0"/>
          <w:color w:val="000000" w:themeColor="text1"/>
          <w:kern w:val="2"/>
          <w:sz w:val="32"/>
          <w:szCs w:val="32"/>
          <w:highlight w:val="none"/>
          <w14:textFill>
            <w14:solidFill>
              <w14:schemeClr w14:val="tx1"/>
            </w14:solidFill>
          </w14:textFill>
        </w:rPr>
        <w:t>相关医疗机构、中选</w:t>
      </w:r>
      <w:r>
        <w:rPr>
          <w:rFonts w:hint="default" w:ascii="Times New Roman" w:hAnsi="Times New Roman" w:eastAsia="仿宋_GB2312" w:cs="Times New Roman"/>
          <w:b w:val="0"/>
          <w:bCs w:val="0"/>
          <w:color w:val="000000" w:themeColor="text1"/>
          <w:kern w:val="2"/>
          <w:sz w:val="32"/>
          <w:szCs w:val="32"/>
          <w:highlight w:val="none"/>
          <w:lang w:val="en-US" w:eastAsia="zh-CN"/>
          <w14:textFill>
            <w14:solidFill>
              <w14:schemeClr w14:val="tx1"/>
            </w14:solidFill>
          </w14:textFill>
        </w:rPr>
        <w:t>企业</w:t>
      </w:r>
      <w:r>
        <w:rPr>
          <w:rFonts w:hint="default" w:ascii="Times New Roman" w:hAnsi="Times New Roman" w:eastAsia="仿宋_GB2312"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14:textFill>
            <w14:solidFill>
              <w14:schemeClr w14:val="tx1"/>
            </w14:solidFill>
          </w14:textFill>
        </w:rPr>
        <w:t>配送企业必须在省采购平台完成采购、配送、入库的全部流程，并按规定执行网上在线结算，严禁网外采购。</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网外采购的产品医保基金不予支付。</w:t>
      </w:r>
    </w:p>
    <w:p>
      <w:pPr>
        <w:keepNext w:val="0"/>
        <w:keepLines w:val="0"/>
        <w:pageBreakBefore w:val="0"/>
        <w:widowControl/>
        <w:shd w:val="clear"/>
        <w:tabs>
          <w:tab w:val="left" w:pos="602"/>
        </w:tabs>
        <w:kinsoku/>
        <w:wordWrap/>
        <w:overflowPunct/>
        <w:topLinePunct w:val="0"/>
        <w:autoSpaceDE/>
        <w:autoSpaceDN/>
        <w:bidi w:val="0"/>
        <w:adjustRightInd/>
        <w:snapToGrid/>
        <w:spacing w:line="592" w:lineRule="exact"/>
        <w:ind w:left="0" w:leftChars="0" w:right="0" w:rightChars="0" w:firstLine="640" w:firstLineChars="200"/>
        <w:jc w:val="left"/>
        <w:outlineLvl w:val="9"/>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各级</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医疗保障部门要进一步加强基金结算管理，提升基金使用效能，60天内应完成对协议医疗机构联网结算住院申报费用的支付工作，并将经办机构结算支付情况纳入相关考核，积极探索医保基金预付，切实有效降低医疗机构财务成本。创新医保管理，制定医疗机构药品货款结算情况与医保总控指标、医保基金年度额度结余留用、医保相关考核评价等有效衔接的具体措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各级</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医疗保障部门</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、卫健部门要将</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医用耗材</w:t>
      </w:r>
      <w:r>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t>货款结算纳入医保定点协议考核、公立医疗机构绩效考核评价、分级管理等级评定、医疗机构负责人目标责任考核等考核范围，对拖延货款的医疗机构，将视情节轻重给予通报批评、限期整改、责令支付违约金等处理。</w:t>
      </w:r>
    </w:p>
    <w:p>
      <w:pPr>
        <w:keepNext w:val="0"/>
        <w:keepLines w:val="0"/>
        <w:pageBreakBefore w:val="0"/>
        <w:widowControl w:val="0"/>
        <w:shd w:val="clear"/>
        <w:kinsoku/>
        <w:wordWrap/>
        <w:overflowPunct/>
        <w:topLinePunct w:val="0"/>
        <w:autoSpaceDE/>
        <w:autoSpaceDN/>
        <w:bidi w:val="0"/>
        <w:adjustRightInd/>
        <w:snapToGrid/>
        <w:spacing w:line="592" w:lineRule="exact"/>
        <w:ind w:left="0" w:leftChars="0" w:right="0" w:rightChars="0" w:firstLine="640" w:firstLineChars="200"/>
        <w:outlineLvl w:val="9"/>
        <w:rPr>
          <w:rFonts w:hint="default" w:ascii="Times New Roman" w:hAnsi="Times New Roman" w:eastAsia="黑体" w:cs="Times New Roman"/>
          <w:color w:val="000000" w:themeColor="text1"/>
          <w:spacing w:val="0"/>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spacing w:val="0"/>
          <w:kern w:val="2"/>
          <w:sz w:val="32"/>
          <w:szCs w:val="32"/>
          <w:highlight w:val="none"/>
          <w:lang w:val="en-US" w:eastAsia="zh-CN" w:bidi="ar-SA"/>
          <w14:textFill>
            <w14:solidFill>
              <w14:schemeClr w14:val="tx1"/>
            </w14:solidFill>
          </w14:textFill>
        </w:rPr>
        <w:t>十、监督管理</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（一）压实工作责任。</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各</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级</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医保部门要切实做好</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耗材</w:t>
      </w:r>
      <w:r>
        <w:rPr>
          <w:rFonts w:hint="eastAsia"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带量</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采购的组织管理和实施工作</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，协同推进、落实激励约束各项改革措施</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t>要</w:t>
      </w:r>
      <w:r>
        <w:rPr>
          <w:rFonts w:hint="default" w:ascii="Times New Roman" w:hAnsi="Times New Roman" w:eastAsia="仿宋_GB2312" w:cs="Times New Roman"/>
          <w:color w:val="000000" w:themeColor="text1"/>
          <w:spacing w:val="0"/>
          <w:kern w:val="0"/>
          <w:sz w:val="32"/>
          <w:szCs w:val="32"/>
          <w:highlight w:val="none"/>
          <w:lang w:eastAsia="zh-CN"/>
          <w14:textFill>
            <w14:solidFill>
              <w14:schemeClr w14:val="tx1"/>
            </w14:solidFill>
          </w14:textFill>
        </w:rPr>
        <w:t>积极采取结余留用、基金预付、货款医保基金直接结算、区别制定医保待遇支付政策、</w:t>
      </w:r>
      <w:r>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t>缩短</w:t>
      </w:r>
      <w:r>
        <w:rPr>
          <w:rFonts w:hint="default" w:ascii="Times New Roman" w:hAnsi="Times New Roman" w:eastAsia="仿宋_GB2312" w:cs="Times New Roman"/>
          <w:color w:val="000000" w:themeColor="text1"/>
          <w:spacing w:val="0"/>
          <w:kern w:val="0"/>
          <w:sz w:val="32"/>
          <w:szCs w:val="32"/>
          <w:highlight w:val="none"/>
          <w:lang w:eastAsia="zh-CN"/>
          <w14:textFill>
            <w14:solidFill>
              <w14:schemeClr w14:val="tx1"/>
            </w14:solidFill>
          </w14:textFill>
        </w:rPr>
        <w:t>医保</w:t>
      </w:r>
      <w:r>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t>基金结算周期</w:t>
      </w:r>
      <w:r>
        <w:rPr>
          <w:rFonts w:hint="default" w:ascii="Times New Roman" w:hAnsi="Times New Roman" w:eastAsia="仿宋_GB2312" w:cs="Times New Roman"/>
          <w:color w:val="000000" w:themeColor="text1"/>
          <w:spacing w:val="0"/>
          <w:kern w:val="0"/>
          <w:sz w:val="32"/>
          <w:szCs w:val="32"/>
          <w:highlight w:val="none"/>
          <w:lang w:eastAsia="zh-CN"/>
          <w14:textFill>
            <w14:solidFill>
              <w14:schemeClr w14:val="tx1"/>
            </w14:solidFill>
          </w14:textFill>
        </w:rPr>
        <w:t>等激励措施，</w:t>
      </w:r>
      <w:r>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t>有效降低医疗机构财务成本</w:t>
      </w:r>
      <w:r>
        <w:rPr>
          <w:rFonts w:hint="default" w:ascii="Times New Roman" w:hAnsi="Times New Roman" w:eastAsia="仿宋_GB2312" w:cs="Times New Roman"/>
          <w:color w:val="000000" w:themeColor="text1"/>
          <w:spacing w:val="0"/>
          <w:kern w:val="0"/>
          <w:sz w:val="32"/>
          <w:szCs w:val="32"/>
          <w:highlight w:val="none"/>
          <w:lang w:eastAsia="zh-CN"/>
          <w14:textFill>
            <w14:solidFill>
              <w14:schemeClr w14:val="tx1"/>
            </w14:solidFill>
          </w14:textFill>
        </w:rPr>
        <w:t>，提高医疗机构、相关企业参与改革的积极性</w:t>
      </w:r>
      <w:r>
        <w:rPr>
          <w:rFonts w:hint="default" w:ascii="Times New Roman" w:hAnsi="Times New Roman" w:eastAsia="仿宋_GB2312" w:cs="Times New Roman"/>
          <w:color w:val="000000" w:themeColor="text1"/>
          <w:spacing w:val="0"/>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卫生健康部门负责对医疗机构落实中选</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产品</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使用</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、货款结算等</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情况进行指导和监督</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市场监督部门</w:t>
      </w:r>
      <w:r>
        <w:rPr>
          <w:rFonts w:hint="default" w:ascii="Times New Roman" w:hAnsi="Times New Roman" w:eastAsia="仿宋_GB2312" w:cs="Times New Roman"/>
          <w:b w:val="0"/>
          <w:bCs w:val="0"/>
          <w:color w:val="000000" w:themeColor="text1"/>
          <w:kern w:val="2"/>
          <w:sz w:val="32"/>
          <w:szCs w:val="32"/>
          <w:highlight w:val="none"/>
          <w:lang w:val="en-US" w:eastAsia="zh-CN"/>
          <w14:textFill>
            <w14:solidFill>
              <w14:schemeClr w14:val="tx1"/>
            </w14:solidFill>
          </w14:textFill>
        </w:rPr>
        <w:t>对医疗机构、药品或医用耗材生产、经营企业价格和履行合同行为进行监管，对</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耗材</w:t>
      </w:r>
      <w:r>
        <w:rPr>
          <w:rFonts w:hint="eastAsia"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带量</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采购</w:t>
      </w:r>
      <w:r>
        <w:rPr>
          <w:rFonts w:hint="default" w:ascii="Times New Roman" w:hAnsi="Times New Roman" w:eastAsia="仿宋_GB2312" w:cs="Times New Roman"/>
          <w:b w:val="0"/>
          <w:bCs w:val="0"/>
          <w:color w:val="000000" w:themeColor="text1"/>
          <w:kern w:val="2"/>
          <w:sz w:val="32"/>
          <w:szCs w:val="32"/>
          <w:highlight w:val="none"/>
          <w:lang w:val="en-US" w:eastAsia="zh-CN"/>
          <w14:textFill>
            <w14:solidFill>
              <w14:schemeClr w14:val="tx1"/>
            </w14:solidFill>
          </w14:textFill>
        </w:rPr>
        <w:t>中的商业贿赂等不正当竞争行为进行监督检查</w:t>
      </w:r>
      <w:r>
        <w:rPr>
          <w:rFonts w:hint="eastAsia" w:ascii="Times New Roman" w:hAnsi="Times New Roman" w:eastAsia="仿宋_GB2312" w:cs="Times New Roman"/>
          <w:b w:val="0"/>
          <w:bCs w:val="0"/>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药品监督管理部门要加大对中选品种的抽检、飞行检查、生产环节检查力度</w:t>
      </w:r>
      <w:r>
        <w:rPr>
          <w:rFonts w:hint="eastAsia"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省公共资源交易中心要</w:t>
      </w:r>
      <w:r>
        <w:rPr>
          <w:rFonts w:hint="default" w:ascii="Times New Roman" w:hAnsi="Times New Roman" w:eastAsia="FangSong_GB2312" w:cs="Times New Roman"/>
          <w:color w:val="000000" w:themeColor="text1"/>
          <w:sz w:val="32"/>
          <w:highlight w:val="none"/>
          <w14:textFill>
            <w14:solidFill>
              <w14:schemeClr w14:val="tx1"/>
            </w14:solidFill>
          </w14:textFill>
        </w:rPr>
        <w:t>加强省采购平台建设，</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做好带量采购具体执行操作，推进医用耗材在线结算等相关工作。</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公立医疗机构作为医用耗材采购使用执行主体，要积极上报采购信息、签订采购合同、</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及时</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支付耗材货款</w:t>
      </w:r>
      <w:r>
        <w:rPr>
          <w:rFonts w:hint="default" w:ascii="Times New Roman" w:hAnsi="Times New Roman" w:eastAsia="仿宋_GB2312" w:cs="Times New Roman"/>
          <w:color w:val="000000" w:themeColor="text1"/>
          <w:spacing w:val="0"/>
          <w:kern w:val="2"/>
          <w:sz w:val="32"/>
          <w:szCs w:val="32"/>
          <w:highlight w:val="none"/>
          <w:lang w:eastAsia="zh-CN"/>
          <w14:textFill>
            <w14:solidFill>
              <w14:schemeClr w14:val="tx1"/>
            </w14:solidFill>
          </w14:textFill>
        </w:rPr>
        <w:t>、杜绝线下采购</w:t>
      </w:r>
      <w:r>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t>。各级医保部门负责对公立医疗机构采购行为进行督促执行。</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kern w:val="2"/>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（二）监管采购行为。</w:t>
      </w:r>
      <w:r>
        <w:rPr>
          <w:rFonts w:hint="eastAsia"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会同有关职能部门对投标企业提供的相关销售资料进行重点核实。</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对</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投标企业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漏报、瞒报价格信息，在耗材</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带量</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采购过程中提供虚假</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销售</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证明材料、恶意诬告、相互串通报价，</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低于成本报价、恶性竞争扰乱招投标政策秩序，</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后拒不签订购销合同、供应质量不达标产品、未按合同规定及时配送供货等行为，视情节轻重给予函询、约谈、通报、直至取消</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投标、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、配送</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资格</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，并列入</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不良记录</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。对列入不良记录的医用耗材生产企业，取消该企业所有产品中</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选</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资格，自取消之日起1年内不得参加湖南省耗材集中带量采购活动</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以及取消该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企业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所有产品在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湖南省医用耗材集中采购系统</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的挂网资格</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（三）加强宣传引导。</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各部门要依据各自职责加强政策解读和正面宣传，合理引导社会舆论和群众预期。加强舆情监测，及时回应社会关切，营造良好改革氛围。加强对医务人员的政策解读和培训。强化风险防范，认真研判工作推进中可能存在的风险，提前制定应对预案，及时发现和妥善处理可能出现的情况和问题。</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outlineLvl w:val="9"/>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FangSong_GB2312" w:cs="Times New Roman"/>
          <w:color w:val="000000" w:themeColor="text1"/>
          <w:sz w:val="32"/>
          <w:highlight w:val="none"/>
          <w14:textFill>
            <w14:solidFill>
              <w14:schemeClr w14:val="tx1"/>
            </w14:solidFill>
          </w14:textFill>
        </w:rPr>
        <w:t>本实施方案自</w:t>
      </w:r>
      <w:r>
        <w:rPr>
          <w:rFonts w:hint="default" w:ascii="Times New Roman" w:hAnsi="Times New Roman" w:eastAsia="Times New Roman" w:cs="Times New Roman"/>
          <w:color w:val="000000" w:themeColor="text1"/>
          <w:sz w:val="32"/>
          <w:highlight w:val="none"/>
          <w14:textFill>
            <w14:solidFill>
              <w14:schemeClr w14:val="tx1"/>
            </w14:solidFill>
          </w14:textFill>
        </w:rPr>
        <w:t>20</w:t>
      </w:r>
      <w:r>
        <w:rPr>
          <w:rFonts w:hint="default" w:ascii="Times New Roman" w:hAnsi="Times New Roman" w:eastAsia="宋体" w:cs="Times New Roman"/>
          <w:color w:val="000000" w:themeColor="text1"/>
          <w:sz w:val="32"/>
          <w:highlight w:val="none"/>
          <w:lang w:val="en-US" w:eastAsia="zh-CN"/>
          <w14:textFill>
            <w14:solidFill>
              <w14:schemeClr w14:val="tx1"/>
            </w14:solidFill>
          </w14:textFill>
        </w:rPr>
        <w:t>20</w:t>
      </w:r>
      <w:r>
        <w:rPr>
          <w:rFonts w:hint="default" w:ascii="Times New Roman" w:hAnsi="Times New Roman" w:eastAsia="FangSong_GB2312" w:cs="Times New Roman"/>
          <w:color w:val="000000" w:themeColor="text1"/>
          <w:sz w:val="32"/>
          <w:highlight w:val="none"/>
          <w14:textFill>
            <w14:solidFill>
              <w14:schemeClr w14:val="tx1"/>
            </w14:solidFill>
          </w14:textFill>
        </w:rPr>
        <w:t>年</w:t>
      </w:r>
      <w:r>
        <w:rPr>
          <w:rFonts w:hint="default" w:ascii="Times New Roman" w:hAnsi="Times New Roman" w:eastAsia="宋体" w:cs="Times New Roman"/>
          <w:color w:val="000000" w:themeColor="text1"/>
          <w:sz w:val="32"/>
          <w:highlight w:val="none"/>
          <w:lang w:val="en-US" w:eastAsia="zh-CN"/>
          <w14:textFill>
            <w14:solidFill>
              <w14:schemeClr w14:val="tx1"/>
            </w14:solidFill>
          </w14:textFill>
        </w:rPr>
        <w:t>9</w:t>
      </w:r>
      <w:r>
        <w:rPr>
          <w:rFonts w:hint="default" w:ascii="Times New Roman" w:hAnsi="Times New Roman" w:eastAsia="FangSong_GB2312" w:cs="Times New Roman"/>
          <w:color w:val="000000" w:themeColor="text1"/>
          <w:sz w:val="32"/>
          <w:highlight w:val="none"/>
          <w14:textFill>
            <w14:solidFill>
              <w14:schemeClr w14:val="tx1"/>
            </w14:solidFill>
          </w14:textFill>
        </w:rPr>
        <w:t>月</w:t>
      </w:r>
      <w:r>
        <w:rPr>
          <w:rFonts w:hint="default" w:ascii="Times New Roman" w:hAnsi="Times New Roman" w:eastAsia="宋体" w:cs="Times New Roman"/>
          <w:color w:val="000000" w:themeColor="text1"/>
          <w:sz w:val="32"/>
          <w:highlight w:val="none"/>
          <w:lang w:val="en-US" w:eastAsia="zh-CN"/>
          <w14:textFill>
            <w14:solidFill>
              <w14:schemeClr w14:val="tx1"/>
            </w14:solidFill>
          </w14:textFill>
        </w:rPr>
        <w:t xml:space="preserve">   </w:t>
      </w:r>
      <w:r>
        <w:rPr>
          <w:rFonts w:hint="default" w:ascii="Times New Roman" w:hAnsi="Times New Roman" w:eastAsia="FangSong_GB2312" w:cs="Times New Roman"/>
          <w:color w:val="000000" w:themeColor="text1"/>
          <w:sz w:val="32"/>
          <w:highlight w:val="none"/>
          <w14:textFill>
            <w14:solidFill>
              <w14:schemeClr w14:val="tx1"/>
            </w14:solidFill>
          </w14:textFill>
        </w:rPr>
        <w:t>日起执行，有效期</w:t>
      </w:r>
      <w:r>
        <w:rPr>
          <w:rFonts w:hint="default" w:ascii="Times New Roman" w:hAnsi="Times New Roman" w:eastAsia="Times New Roman" w:cs="Times New Roman"/>
          <w:color w:val="000000" w:themeColor="text1"/>
          <w:sz w:val="32"/>
          <w:highlight w:val="none"/>
          <w14:textFill>
            <w14:solidFill>
              <w14:schemeClr w14:val="tx1"/>
            </w14:solidFill>
          </w14:textFill>
        </w:rPr>
        <w:t>3</w:t>
      </w:r>
      <w:r>
        <w:rPr>
          <w:rFonts w:hint="default" w:ascii="Times New Roman" w:hAnsi="Times New Roman" w:eastAsia="FangSong_GB2312" w:cs="Times New Roman"/>
          <w:color w:val="000000" w:themeColor="text1"/>
          <w:sz w:val="32"/>
          <w:highlight w:val="none"/>
          <w14:textFill>
            <w14:solidFill>
              <w14:schemeClr w14:val="tx1"/>
            </w14:solidFill>
          </w14:textFill>
        </w:rPr>
        <w:t>年。本次</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耗材</w:t>
      </w:r>
      <w:r>
        <w:rPr>
          <w:rFonts w:hint="eastAsia" w:ascii="Times New Roman" w:hAnsi="Times New Roman" w:eastAsia="FangSong_GB2312" w:cs="Times New Roman"/>
          <w:color w:val="000000" w:themeColor="text1"/>
          <w:sz w:val="32"/>
          <w:highlight w:val="none"/>
          <w:lang w:eastAsia="zh-CN"/>
          <w14:textFill>
            <w14:solidFill>
              <w14:schemeClr w14:val="tx1"/>
            </w14:solidFill>
          </w14:textFill>
        </w:rPr>
        <w:t>带量</w:t>
      </w:r>
      <w:r>
        <w:rPr>
          <w:rFonts w:hint="default" w:ascii="Times New Roman" w:hAnsi="Times New Roman" w:eastAsia="FangSong_GB2312" w:cs="Times New Roman"/>
          <w:color w:val="000000" w:themeColor="text1"/>
          <w:sz w:val="32"/>
          <w:highlight w:val="none"/>
          <w14:textFill>
            <w14:solidFill>
              <w14:schemeClr w14:val="tx1"/>
            </w14:solidFill>
          </w14:textFill>
        </w:rPr>
        <w:t>采购活动的有关文件、公告和信息均通过省采购平台（网址：</w:t>
      </w:r>
      <w:r>
        <w:rPr>
          <w:rFonts w:hint="default" w:ascii="Times New Roman" w:hAnsi="Times New Roman" w:eastAsia="Times New Roman" w:cs="Times New Roman"/>
          <w:color w:val="000000" w:themeColor="text1"/>
          <w:sz w:val="32"/>
          <w:highlight w:val="none"/>
          <w14:textFill>
            <w14:solidFill>
              <w14:schemeClr w14:val="tx1"/>
            </w14:solidFill>
          </w14:textFill>
        </w:rPr>
        <w:t>http://yycg.hnsggzy.com/</w:t>
      </w:r>
      <w:r>
        <w:rPr>
          <w:rFonts w:hint="default" w:ascii="Times New Roman" w:hAnsi="Times New Roman" w:eastAsia="FangSong_GB2312" w:cs="Times New Roman"/>
          <w:color w:val="000000" w:themeColor="text1"/>
          <w:sz w:val="32"/>
          <w:highlight w:val="none"/>
          <w14:textFill>
            <w14:solidFill>
              <w14:schemeClr w14:val="tx1"/>
            </w14:solidFill>
          </w14:textFill>
        </w:rPr>
        <w:t>）向社会发布。</w:t>
      </w:r>
      <w:r>
        <w:rPr>
          <w:rFonts w:hint="default" w:ascii="Times New Roman" w:hAnsi="Times New Roman" w:eastAsia="FangSong_GB2312" w:cs="Times New Roman"/>
          <w:color w:val="000000" w:themeColor="text1"/>
          <w:sz w:val="32"/>
          <w:highlight w:val="none"/>
          <w:lang w:eastAsia="zh-CN"/>
          <w14:textFill>
            <w14:solidFill>
              <w14:schemeClr w14:val="tx1"/>
            </w14:solidFill>
          </w14:textFill>
        </w:rPr>
        <w:t>执行期间，如国家出台相关政策，按国家政策执行。</w:t>
      </w:r>
      <w:r>
        <w:rPr>
          <w:rFonts w:hint="default" w:ascii="Times New Roman" w:hAnsi="Times New Roman" w:eastAsia="FangSong_GB2312" w:cs="Times New Roman"/>
          <w:color w:val="000000" w:themeColor="text1"/>
          <w:sz w:val="32"/>
          <w:highlight w:val="none"/>
          <w14:textFill>
            <w14:solidFill>
              <w14:schemeClr w14:val="tx1"/>
            </w14:solidFill>
          </w14:textFill>
        </w:rPr>
        <w:t xml:space="preserve"> </w:t>
      </w:r>
    </w:p>
    <w:p>
      <w:pPr>
        <w:shd w:val="clear"/>
        <w:rPr>
          <w:rFonts w:hint="default" w:ascii="Times New Roman" w:hAnsi="Times New Roman" w:cs="Times New Roman"/>
          <w:color w:val="000000" w:themeColor="text1"/>
          <w:highlight w:val="none"/>
          <w14:textFill>
            <w14:solidFill>
              <w14:schemeClr w14:val="tx1"/>
            </w14:solidFill>
          </w14:textFill>
        </w:rPr>
      </w:pPr>
    </w:p>
    <w:p>
      <w:pPr>
        <w:shd w:val="clear"/>
      </w:pPr>
    </w:p>
    <w:sectPr>
      <w:footerReference r:id="rId3" w:type="default"/>
      <w:pgSz w:w="11906" w:h="16838"/>
      <w:pgMar w:top="2154" w:right="1304" w:bottom="1984"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1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EE4B"/>
    <w:multiLevelType w:val="singleLevel"/>
    <w:tmpl w:val="5F34EE4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9275C"/>
    <w:rsid w:val="05F17B1D"/>
    <w:rsid w:val="27BB44BE"/>
    <w:rsid w:val="33044AC9"/>
    <w:rsid w:val="3AFC25E7"/>
    <w:rsid w:val="4059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footer"/>
    <w:basedOn w:val="1"/>
    <w:next w:val="2"/>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2020-08-26T01:05:00Z</dcterms:created>
  <dc:creator>省医保局</dc:creator>
  <cp:lastModifiedBy>官网官微维护员</cp:lastModifiedBy>
  <dcterms:modified xsi:type="dcterms:W3CDTF">2020-08-26T09:05:50Z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